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94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971"/>
        <w:gridCol w:w="970"/>
      </w:tblGrid>
      <w:tr>
        <w:trPr>
          <w:cnfStyle w:firstRow="1"/>
        </w:trPr>
        <w:tc>
          <w:tcPr>
            <w:tcW w:w="97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  <w:tc>
          <w:tcPr>
            <w:tcW w:w="9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</w:tr>
      <w:tr>
        <w:trPr/>
        <w:tc>
          <w:tcPr>
            <w:tcW w:w="971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1 </w:t>
            </w:r>
          </w:p>
        </w:tc>
        <w:tc>
          <w:tcPr>
            <w:tcW w:w="970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2240" w:h="15840"/>
      <w:pgMar w:left="1440" w:right="1440" w:gutter="0" w:header="720" w:top="1999" w:footer="720" w:bottom="184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Roboto">
    <w:charset w:val="01"/>
    <w:family w:val="roman"/>
    <w:pitch w:val="variable"/>
  </w:font>
  <w:font w:name="Roboto Blac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</w:p>
  <w:p>
    <w:pPr>
      <w:pStyle w:val="Footer"/>
      <w:rPr/>
    </w:pPr>
    <w:r>
      <w:rPr/>
    </w:r>
  </w:p>
  <w:p>
    <w:pPr>
      <w:pStyle w:val="Footer"/>
      <w:rPr/>
    </w:pPr>
    <w:r>
      <w:rPr/>
      <w:t>Copyright © 202</w:t>
    </w:r>
    <w:r>
      <w:rPr/>
      <w:t>2</w:t>
    </w:r>
    <w:r>
      <w:rPr/>
      <w:t xml:space="preserve">  Shawn Jordan and Daniel M. Aukes</w:t>
    </w:r>
  </w:p>
  <w:p>
    <w:pPr>
      <w:pStyle w:val="Footer"/>
      <w:rPr>
        <w:sz w:val="20"/>
        <w:szCs w:val="20"/>
      </w:rPr>
    </w:pPr>
    <w:r>
      <w:rPr>
        <w:sz w:val="20"/>
        <w:szCs w:val="20"/>
      </w:rPr>
      <w:t>THIS CONTENT IS PROTECTED AND MAY NOT BE SHARED, UPLOADED, SOLD, OR DISTRIBUTED.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6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3129"/>
      <w:gridCol w:w="3057"/>
      <w:gridCol w:w="3174"/>
    </w:tblGrid>
    <w:tr>
      <w:trPr>
        <w:trHeight w:val="717" w:hRule="atLeast"/>
        <w:cantSplit w:val="true"/>
      </w:trPr>
      <w:tc>
        <w:tcPr>
          <w:tcW w:w="3129" w:type="dxa"/>
          <w:tcBorders/>
          <w:vAlign w:val="center"/>
        </w:tcPr>
        <w:p>
          <w:pPr>
            <w:pStyle w:val="Header"/>
            <w:widowControl w:val="false"/>
            <w:rPr>
              <w:sz w:val="48"/>
              <w:szCs w:val="32"/>
            </w:rPr>
          </w:pPr>
          <w:r>
            <w:rPr>
              <w:sz w:val="48"/>
              <w:szCs w:val="32"/>
            </w:rPr>
            <w:t>EGR304</w:t>
          </w:r>
        </w:p>
      </w:tc>
      <w:tc>
        <w:tcPr>
          <w:tcW w:w="3057" w:type="dxa"/>
          <w:tcBorders/>
          <w:vAlign w:val="center"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174" w:type="dxa"/>
          <w:tcBorders/>
          <w:vAlign w:val="center"/>
        </w:tcPr>
        <w:p>
          <w:pPr>
            <w:pStyle w:val="Header"/>
            <w:widowControl w:val="false"/>
            <w:jc w:val="right"/>
            <w:rPr/>
          </w:pPr>
          <w:r>
            <w:rPr/>
            <w:drawing>
              <wp:inline distT="0" distB="0" distL="0" distR="0">
                <wp:extent cx="1751965" cy="457200"/>
                <wp:effectExtent l="0" t="0" r="0" b="0"/>
                <wp:docPr id="1" name="Image1" descr="C:\Users\danaukes\AppData\Local\Microsoft\Windows\INetCache\Content.Word\ASU_FultonEngineering_Horiz_RGB_MaroonGold_60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C:\Users\danaukes\AppData\Local\Microsoft\Windows\INetCache\Content.Word\ASU_FultonEngineering_Horiz_RGB_MaroonGold_60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5832" t="15210" r="5832" b="152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1965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false"/>
      <w:bidi w:val="0"/>
      <w:spacing w:before="0" w:after="200"/>
      <w:jc w:val="left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" w:cs="" w:cstheme="majorBidi" w:eastAsiaTheme="majorEastAsia"/>
      <w:b/>
      <w:bCs/>
      <w:color w:val="000000" w:themeColor="accent1" w:themeShade="b5"/>
      <w:sz w:val="36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" w:cs="" w:cstheme="majorBidi" w:eastAsiaTheme="majorEastAsia"/>
      <w:b/>
      <w:bCs/>
      <w:color w:val="000000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" w:cs="" w:cstheme="majorBidi" w:eastAsiaTheme="majorEastAsia"/>
      <w:b/>
      <w:bCs/>
      <w:color w:val="000000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" w:cs="" w:cstheme="majorBidi" w:eastAsiaTheme="majorEastAsia"/>
      <w:i/>
      <w:iCs/>
      <w:color w:val="000000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" w:cs="" w:cstheme="majorBidi" w:eastAsiaTheme="majorEastAsia"/>
      <w:color w:val="000000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" w:cs="" w:cstheme="majorBidi" w:eastAsiaTheme="majorEastAsia"/>
      <w:color w:val="000000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" w:cs="" w:cstheme="majorBidi" w:eastAsiaTheme="majorEastAsia"/>
      <w:color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" w:cs="" w:cstheme="majorBidi" w:eastAsiaTheme="majorEastAsia"/>
      <w:color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FooterChar">
    <w:name w:val="Footer Char"/>
    <w:qFormat/>
    <w:rPr>
      <w:rFonts w:ascii="Roboto" w:hAnsi="Roboto" w:cs="Roboto"/>
      <w:sz w:val="16"/>
      <w:szCs w:val="16"/>
    </w:rPr>
  </w:style>
  <w:style w:type="character" w:styleId="HeaderChar">
    <w:name w:val="Header Char"/>
    <w:qFormat/>
    <w:rPr>
      <w:rFonts w:ascii="Roboto Black" w:hAnsi="Roboto Black" w:cs="Roboto Black"/>
      <w:sz w:val="20"/>
    </w:rPr>
  </w:style>
  <w:style w:type="character" w:styleId="NormalTok">
    <w:name w:val="NormalTok"/>
    <w:qFormat/>
    <w:rPr>
      <w:rFonts w:ascii="Consolas" w:hAnsi="Consolas" w:eastAsia="Courier New"/>
      <w:sz w:val="22"/>
    </w:rPr>
  </w:style>
  <w:style w:type="character" w:styleId="ErrorTok">
    <w:name w:val="ErrorTok"/>
    <w:qFormat/>
    <w:rPr>
      <w:rFonts w:ascii="Consolas" w:hAnsi="Consolas" w:eastAsia="Courier New"/>
      <w:b/>
      <w:color w:val="FF0000"/>
      <w:sz w:val="22"/>
    </w:rPr>
  </w:style>
  <w:style w:type="character" w:styleId="AlertTok">
    <w:name w:val="AlertTok"/>
    <w:qFormat/>
    <w:rPr>
      <w:rFonts w:ascii="Consolas" w:hAnsi="Consolas" w:eastAsia="Courier New"/>
      <w:b/>
      <w:color w:val="FF0000"/>
      <w:sz w:val="22"/>
    </w:rPr>
  </w:style>
  <w:style w:type="character" w:styleId="WarningTok">
    <w:name w:val="WarningTok"/>
    <w:qFormat/>
    <w:rPr>
      <w:rFonts w:ascii="Consolas" w:hAnsi="Consolas" w:eastAsia="Courier New"/>
      <w:b/>
      <w:i/>
      <w:color w:val="60A0B0"/>
      <w:sz w:val="22"/>
    </w:rPr>
  </w:style>
  <w:style w:type="character" w:styleId="InformationTok">
    <w:name w:val="InformationTok"/>
    <w:qFormat/>
    <w:rPr>
      <w:rFonts w:ascii="Consolas" w:hAnsi="Consolas" w:eastAsia="Courier New"/>
      <w:b/>
      <w:i/>
      <w:color w:val="60A0B0"/>
      <w:sz w:val="22"/>
    </w:rPr>
  </w:style>
  <w:style w:type="character" w:styleId="RegionMarkerTok">
    <w:name w:val="RegionMarkerTok"/>
    <w:qFormat/>
    <w:rPr>
      <w:rFonts w:ascii="Consolas" w:hAnsi="Consolas" w:eastAsia="Courier New"/>
      <w:sz w:val="22"/>
    </w:rPr>
  </w:style>
  <w:style w:type="character" w:styleId="AttributeTok">
    <w:name w:val="AttributeTok"/>
    <w:qFormat/>
    <w:rPr>
      <w:rFonts w:ascii="Consolas" w:hAnsi="Consolas" w:eastAsia="Courier New"/>
      <w:color w:val="7D9029"/>
      <w:sz w:val="22"/>
    </w:rPr>
  </w:style>
  <w:style w:type="character" w:styleId="PreprocessorTok">
    <w:name w:val="PreprocessorTok"/>
    <w:qFormat/>
    <w:rPr>
      <w:rFonts w:ascii="Consolas" w:hAnsi="Consolas" w:eastAsia="Courier New"/>
      <w:color w:val="BC7A00"/>
      <w:sz w:val="22"/>
    </w:rPr>
  </w:style>
  <w:style w:type="character" w:styleId="ExtensionTok">
    <w:name w:val="ExtensionTok"/>
    <w:qFormat/>
    <w:rPr>
      <w:rFonts w:ascii="Consolas" w:hAnsi="Consolas" w:eastAsia="Courier New"/>
      <w:sz w:val="22"/>
    </w:rPr>
  </w:style>
  <w:style w:type="character" w:styleId="BuiltInTok">
    <w:name w:val="BuiltInTok"/>
    <w:qFormat/>
    <w:rPr>
      <w:rFonts w:ascii="Consolas" w:hAnsi="Consolas" w:eastAsia="Courier New"/>
      <w:sz w:val="22"/>
    </w:rPr>
  </w:style>
  <w:style w:type="character" w:styleId="OperatorTok">
    <w:name w:val="OperatorTok"/>
    <w:qFormat/>
    <w:rPr>
      <w:rFonts w:ascii="Consolas" w:hAnsi="Consolas" w:eastAsia="Courier New"/>
      <w:color w:val="666666"/>
      <w:sz w:val="22"/>
    </w:rPr>
  </w:style>
  <w:style w:type="character" w:styleId="ControlFlowTok">
    <w:name w:val="ControlFlowTok"/>
    <w:qFormat/>
    <w:rPr>
      <w:rFonts w:ascii="Consolas" w:hAnsi="Consolas" w:eastAsia="Courier New"/>
      <w:b/>
      <w:color w:val="007020"/>
      <w:sz w:val="22"/>
    </w:rPr>
  </w:style>
  <w:style w:type="character" w:styleId="VariableTok">
    <w:name w:val="VariableTok"/>
    <w:qFormat/>
    <w:rPr>
      <w:rFonts w:ascii="Consolas" w:hAnsi="Consolas" w:eastAsia="Courier New"/>
      <w:color w:val="19177C"/>
      <w:sz w:val="22"/>
    </w:rPr>
  </w:style>
  <w:style w:type="character" w:styleId="FunctionTok">
    <w:name w:val="FunctionTok"/>
    <w:qFormat/>
    <w:rPr>
      <w:rFonts w:ascii="Consolas" w:hAnsi="Consolas" w:eastAsia="Courier New"/>
      <w:color w:val="06287E"/>
      <w:sz w:val="22"/>
    </w:rPr>
  </w:style>
  <w:style w:type="character" w:styleId="OtherTok">
    <w:name w:val="OtherTok"/>
    <w:qFormat/>
    <w:rPr>
      <w:rFonts w:ascii="Consolas" w:hAnsi="Consolas" w:eastAsia="Courier New"/>
      <w:color w:val="007020"/>
      <w:sz w:val="22"/>
    </w:rPr>
  </w:style>
  <w:style w:type="character" w:styleId="CommentVarTok">
    <w:name w:val="CommentVarTok"/>
    <w:qFormat/>
    <w:rPr>
      <w:rFonts w:ascii="Consolas" w:hAnsi="Consolas" w:eastAsia="Courier New"/>
      <w:b/>
      <w:i/>
      <w:color w:val="60A0B0"/>
      <w:sz w:val="22"/>
    </w:rPr>
  </w:style>
  <w:style w:type="character" w:styleId="AnnotationTok">
    <w:name w:val="AnnotationTok"/>
    <w:qFormat/>
    <w:rPr>
      <w:rFonts w:ascii="Consolas" w:hAnsi="Consolas" w:eastAsia="Courier New"/>
      <w:b/>
      <w:i/>
      <w:color w:val="60A0B0"/>
      <w:sz w:val="22"/>
    </w:rPr>
  </w:style>
  <w:style w:type="character" w:styleId="DocumentationTok">
    <w:name w:val="DocumentationTok"/>
    <w:qFormat/>
    <w:rPr>
      <w:rFonts w:ascii="Consolas" w:hAnsi="Consolas" w:eastAsia="Courier New"/>
      <w:i/>
      <w:color w:val="BA2121"/>
      <w:sz w:val="22"/>
    </w:rPr>
  </w:style>
  <w:style w:type="character" w:styleId="CommentTok">
    <w:name w:val="CommentTok"/>
    <w:qFormat/>
    <w:rPr>
      <w:rFonts w:ascii="Consolas" w:hAnsi="Consolas" w:eastAsia="Courier New"/>
      <w:i/>
      <w:color w:val="60A0B0"/>
      <w:sz w:val="22"/>
    </w:rPr>
  </w:style>
  <w:style w:type="character" w:styleId="ImportTok">
    <w:name w:val="ImportTok"/>
    <w:qFormat/>
    <w:rPr>
      <w:rFonts w:ascii="Consolas" w:hAnsi="Consolas" w:eastAsia="Courier New"/>
      <w:sz w:val="22"/>
    </w:rPr>
  </w:style>
  <w:style w:type="character" w:styleId="SpecialStringTok">
    <w:name w:val="SpecialStringTok"/>
    <w:qFormat/>
    <w:rPr>
      <w:rFonts w:ascii="Consolas" w:hAnsi="Consolas" w:eastAsia="Courier New"/>
      <w:color w:val="BB6688"/>
      <w:sz w:val="22"/>
    </w:rPr>
  </w:style>
  <w:style w:type="character" w:styleId="VerbatimStringTok">
    <w:name w:val="VerbatimStringTok"/>
    <w:qFormat/>
    <w:rPr>
      <w:rFonts w:ascii="Consolas" w:hAnsi="Consolas" w:eastAsia="Courier New"/>
      <w:color w:val="4070A0"/>
      <w:sz w:val="22"/>
    </w:rPr>
  </w:style>
  <w:style w:type="character" w:styleId="StringTok">
    <w:name w:val="StringTok"/>
    <w:qFormat/>
    <w:rPr>
      <w:rFonts w:ascii="Consolas" w:hAnsi="Consolas" w:eastAsia="Courier New"/>
      <w:color w:val="4070A0"/>
      <w:sz w:val="22"/>
    </w:rPr>
  </w:style>
  <w:style w:type="character" w:styleId="SpecialCharTok">
    <w:name w:val="SpecialCharTok"/>
    <w:qFormat/>
    <w:rPr>
      <w:rFonts w:ascii="Consolas" w:hAnsi="Consolas" w:eastAsia="Courier New"/>
      <w:color w:val="4070A0"/>
      <w:sz w:val="22"/>
    </w:rPr>
  </w:style>
  <w:style w:type="character" w:styleId="CharTok">
    <w:name w:val="CharTok"/>
    <w:qFormat/>
    <w:rPr>
      <w:rFonts w:ascii="Consolas" w:hAnsi="Consolas" w:eastAsia="Courier New"/>
      <w:color w:val="4070A0"/>
      <w:sz w:val="22"/>
    </w:rPr>
  </w:style>
  <w:style w:type="character" w:styleId="ConstantTok">
    <w:name w:val="ConstantTok"/>
    <w:qFormat/>
    <w:rPr>
      <w:rFonts w:ascii="Consolas" w:hAnsi="Consolas" w:eastAsia="Courier New"/>
      <w:color w:val="880000"/>
      <w:sz w:val="22"/>
    </w:rPr>
  </w:style>
  <w:style w:type="character" w:styleId="FloatTok">
    <w:name w:val="FloatTok"/>
    <w:qFormat/>
    <w:rPr>
      <w:rFonts w:ascii="Consolas" w:hAnsi="Consolas" w:eastAsia="Courier New"/>
      <w:color w:val="40A070"/>
      <w:sz w:val="22"/>
    </w:rPr>
  </w:style>
  <w:style w:type="character" w:styleId="BaseNTok">
    <w:name w:val="BaseNTok"/>
    <w:qFormat/>
    <w:rPr>
      <w:rFonts w:ascii="Consolas" w:hAnsi="Consolas" w:eastAsia="Courier New"/>
      <w:color w:val="40A070"/>
      <w:sz w:val="22"/>
    </w:rPr>
  </w:style>
  <w:style w:type="character" w:styleId="DecValTok">
    <w:name w:val="DecValTok"/>
    <w:qFormat/>
    <w:rPr>
      <w:rFonts w:ascii="Consolas" w:hAnsi="Consolas" w:eastAsia="Courier New"/>
      <w:color w:val="40A070"/>
      <w:sz w:val="22"/>
    </w:rPr>
  </w:style>
  <w:style w:type="character" w:styleId="DataTypeTok">
    <w:name w:val="DataTypeTok"/>
    <w:qFormat/>
    <w:rPr>
      <w:rFonts w:ascii="Consolas" w:hAnsi="Consolas" w:eastAsia="Courier New"/>
      <w:color w:val="902000"/>
      <w:sz w:val="22"/>
    </w:rPr>
  </w:style>
  <w:style w:type="character" w:styleId="KeywordTok">
    <w:name w:val="KeywordTok"/>
    <w:qFormat/>
    <w:rPr>
      <w:rFonts w:ascii="Consolas" w:hAnsi="Consolas" w:eastAsia="Courier New"/>
      <w:b/>
      <w:color w:val="007020"/>
      <w:sz w:val="22"/>
    </w:rPr>
  </w:style>
  <w:style w:type="character" w:styleId="CaptionChar">
    <w:name w:val="Caption Char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Arial" w:hAnsi="Arial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rFonts w:ascii="Arial" w:hAnsi="Arial"/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Arial" w:hAnsi="Arial" w:eastAsia="" w:cs="" w:cstheme="majorBidi" w:eastAsiaTheme="majorEastAsia"/>
      <w:b/>
      <w:bCs/>
      <w:color w:val="auto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rFonts w:ascii="Arial" w:hAnsi="Arial"/>
      <w:sz w:val="24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>
    <w:name w:val="Source Code"/>
    <w:basedOn w:val="Normal"/>
    <w:qFormat/>
    <w:pPr/>
    <w:rPr>
      <w:rFonts w:ascii="Courier New" w:hAnsi="Courier New" w:eastAsia="Courier New"/>
    </w:rPr>
  </w:style>
  <w:style w:type="paragraph" w:styleId="Caption1">
    <w:name w:val="caption"/>
    <w:basedOn w:val="Normal"/>
    <w:qFormat/>
    <w:pPr>
      <w:spacing w:before="0" w:after="120"/>
    </w:pPr>
    <w:rPr>
      <w:i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  <w:spacing w:before="0" w:after="0"/>
    </w:pPr>
    <w:rPr>
      <w:rFonts w:ascii="Roboto Black" w:hAnsi="Roboto Black"/>
      <w:b w:val="false"/>
      <w:i w:val="false"/>
      <w:sz w:val="20"/>
    </w:rPr>
  </w:style>
  <w:style w:type="paragraph" w:styleId="Footer">
    <w:name w:val="Footer"/>
    <w:basedOn w:val="HeaderandFooter"/>
    <w:pPr>
      <w:suppressLineNumbers/>
      <w:spacing w:before="0" w:after="0"/>
      <w:jc w:val="center"/>
    </w:pPr>
    <w:rPr>
      <w:rFonts w:ascii="Roboto" w:hAnsi="Roboto"/>
      <w:sz w:val="16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LibreOffice/7.2.3.2$Linux_X86_64 LibreOffice_project/20$Build-2</Application>
  <AppVersion>15.0000</AppVersion>
  <DocSecurity>0</DocSecurity>
  <Pages>2</Pages>
  <Words>77</Words>
  <Characters>397</Characters>
  <CharactersWithSpaces>511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2022-01-04T16:46:25Z</dcterms:modified>
  <cp:revision>6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