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9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71"/>
        <w:gridCol w:w="970"/>
      </w:tblGrid>
      <w:tr>
        <w:trPr>
          <w:cnfStyle w:firstRow="1"/>
        </w:trPr>
        <w:tc>
          <w:tcPr>
            <w:tcW w:w="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</w:tr>
      <w:tr>
        <w:trPr/>
        <w:tc>
          <w:tcPr>
            <w:tcW w:w="971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970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gutter="0" w:header="720" w:top="1999" w:footer="720" w:bottom="184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  <w:font w:name="Roboto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  <w:t>Copyright © 2022  Shawn Jordan and Daniel M. Aukes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THIS CONTENT IS PROTECTED AND MAY NOT BE SHARED, UPLOADED, SOLD, OR DISTRIBUTED.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3129"/>
      <w:gridCol w:w="3057"/>
      <w:gridCol w:w="3174"/>
    </w:tblGrid>
    <w:tr>
      <w:trPr>
        <w:trHeight w:val="717" w:hRule="atLeast"/>
        <w:cantSplit w:val="true"/>
      </w:trPr>
      <w:tc>
        <w:tcPr>
          <w:tcW w:w="3129" w:type="dxa"/>
          <w:tcBorders/>
          <w:vAlign w:val="center"/>
        </w:tcPr>
        <w:p>
          <w:pPr>
            <w:pStyle w:val="Header"/>
            <w:widowControl w:val="false"/>
            <w:rPr>
              <w:sz w:val="48"/>
              <w:szCs w:val="32"/>
            </w:rPr>
          </w:pPr>
          <w:r>
            <w:rPr>
              <w:sz w:val="48"/>
              <w:szCs w:val="32"/>
            </w:rPr>
            <w:t>EGR</w:t>
          </w:r>
          <w:r>
            <w:rPr>
              <w:sz w:val="48"/>
              <w:szCs w:val="32"/>
            </w:rPr>
            <w:t>123</w:t>
          </w:r>
        </w:p>
      </w:tc>
      <w:tc>
        <w:tcPr>
          <w:tcW w:w="3057" w:type="dxa"/>
          <w:tcBorders/>
          <w:vAlign w:val="center"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74" w:type="dxa"/>
          <w:tcBorders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/>
            <w:drawing>
              <wp:inline distT="0" distB="0" distL="0" distR="0">
                <wp:extent cx="1751965" cy="457200"/>
                <wp:effectExtent l="0" t="0" r="0" b="0"/>
                <wp:docPr id="1" name="Image1" descr="C:\Users\danaukes\AppData\Local\Microsoft\Windows\INetCache\Content.Word\ASU_FultonEngineering_Horiz_RGB_MaroonGold_60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C:\Users\danaukes\AppData\Local\Microsoft\Windows\INetCache\Content.Word\ASU_FultonEngineering_Horiz_RGB_MaroonGold_60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2" t="15210" r="5832" b="152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96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fals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 w:themeColor="accent1" w:themeShade="b5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/>
      <w:bCs/>
      <w:color w:val="000000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/>
      <w:iCs/>
      <w:color w:val="000000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color w:val="000000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" w:cs="" w:cstheme="majorBidi" w:eastAsiaTheme="majorEastAsia"/>
      <w:color w:val="000000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FooterChar">
    <w:name w:val="Footer Char"/>
    <w:qFormat/>
    <w:rPr>
      <w:rFonts w:ascii="Roboto" w:hAnsi="Roboto" w:cs="Roboto"/>
      <w:sz w:val="16"/>
      <w:szCs w:val="16"/>
    </w:rPr>
  </w:style>
  <w:style w:type="character" w:styleId="HeaderChar">
    <w:name w:val="Header Char"/>
    <w:qFormat/>
    <w:rPr>
      <w:rFonts w:ascii="Roboto Black" w:hAnsi="Roboto Black" w:cs="Roboto Black"/>
      <w:sz w:val="20"/>
    </w:rPr>
  </w:style>
  <w:style w:type="character" w:styleId="NormalTok">
    <w:name w:val="NormalTok"/>
    <w:qFormat/>
    <w:rPr>
      <w:rFonts w:ascii="Consolas" w:hAnsi="Consolas" w:eastAsia="Courier New"/>
      <w:sz w:val="22"/>
    </w:rPr>
  </w:style>
  <w:style w:type="character" w:styleId="ErrorTok">
    <w:name w:val="ErrorTok"/>
    <w:qFormat/>
    <w:rPr>
      <w:rFonts w:ascii="Consolas" w:hAnsi="Consolas" w:eastAsia="Courier New"/>
      <w:b/>
      <w:color w:val="FF0000"/>
      <w:sz w:val="22"/>
    </w:rPr>
  </w:style>
  <w:style w:type="character" w:styleId="AlertTok">
    <w:name w:val="AlertTok"/>
    <w:qFormat/>
    <w:rPr>
      <w:rFonts w:ascii="Consolas" w:hAnsi="Consolas" w:eastAsia="Courier New"/>
      <w:b/>
      <w:color w:val="FF0000"/>
      <w:sz w:val="22"/>
    </w:rPr>
  </w:style>
  <w:style w:type="character" w:styleId="WarningTok">
    <w:name w:val="WarningTok"/>
    <w:qFormat/>
    <w:rPr>
      <w:rFonts w:ascii="Consolas" w:hAnsi="Consolas" w:eastAsia="Courier New"/>
      <w:b/>
      <w:i/>
      <w:color w:val="60A0B0"/>
      <w:sz w:val="22"/>
    </w:rPr>
  </w:style>
  <w:style w:type="character" w:styleId="InformationTok">
    <w:name w:val="InformationTok"/>
    <w:qFormat/>
    <w:rPr>
      <w:rFonts w:ascii="Consolas" w:hAnsi="Consolas" w:eastAsia="Courier New"/>
      <w:b/>
      <w:i/>
      <w:color w:val="60A0B0"/>
      <w:sz w:val="22"/>
    </w:rPr>
  </w:style>
  <w:style w:type="character" w:styleId="RegionMarkerTok">
    <w:name w:val="RegionMarkerTok"/>
    <w:qFormat/>
    <w:rPr>
      <w:rFonts w:ascii="Consolas" w:hAnsi="Consolas" w:eastAsia="Courier New"/>
      <w:sz w:val="22"/>
    </w:rPr>
  </w:style>
  <w:style w:type="character" w:styleId="AttributeTok">
    <w:name w:val="AttributeTok"/>
    <w:qFormat/>
    <w:rPr>
      <w:rFonts w:ascii="Consolas" w:hAnsi="Consolas" w:eastAsia="Courier New"/>
      <w:color w:val="7D9029"/>
      <w:sz w:val="22"/>
    </w:rPr>
  </w:style>
  <w:style w:type="character" w:styleId="PreprocessorTok">
    <w:name w:val="PreprocessorTok"/>
    <w:qFormat/>
    <w:rPr>
      <w:rFonts w:ascii="Consolas" w:hAnsi="Consolas" w:eastAsia="Courier New"/>
      <w:color w:val="BC7A00"/>
      <w:sz w:val="22"/>
    </w:rPr>
  </w:style>
  <w:style w:type="character" w:styleId="ExtensionTok">
    <w:name w:val="ExtensionTok"/>
    <w:qFormat/>
    <w:rPr>
      <w:rFonts w:ascii="Consolas" w:hAnsi="Consolas" w:eastAsia="Courier New"/>
      <w:sz w:val="22"/>
    </w:rPr>
  </w:style>
  <w:style w:type="character" w:styleId="BuiltInTok">
    <w:name w:val="BuiltInTok"/>
    <w:qFormat/>
    <w:rPr>
      <w:rFonts w:ascii="Consolas" w:hAnsi="Consolas" w:eastAsia="Courier New"/>
      <w:sz w:val="22"/>
    </w:rPr>
  </w:style>
  <w:style w:type="character" w:styleId="OperatorTok">
    <w:name w:val="OperatorTok"/>
    <w:qFormat/>
    <w:rPr>
      <w:rFonts w:ascii="Consolas" w:hAnsi="Consolas" w:eastAsia="Courier New"/>
      <w:color w:val="666666"/>
      <w:sz w:val="22"/>
    </w:rPr>
  </w:style>
  <w:style w:type="character" w:styleId="ControlFlowTok">
    <w:name w:val="ControlFlowTok"/>
    <w:qFormat/>
    <w:rPr>
      <w:rFonts w:ascii="Consolas" w:hAnsi="Consolas" w:eastAsia="Courier New"/>
      <w:b/>
      <w:color w:val="007020"/>
      <w:sz w:val="22"/>
    </w:rPr>
  </w:style>
  <w:style w:type="character" w:styleId="VariableTok">
    <w:name w:val="VariableTok"/>
    <w:qFormat/>
    <w:rPr>
      <w:rFonts w:ascii="Consolas" w:hAnsi="Consolas" w:eastAsia="Courier New"/>
      <w:color w:val="19177C"/>
      <w:sz w:val="22"/>
    </w:rPr>
  </w:style>
  <w:style w:type="character" w:styleId="FunctionTok">
    <w:name w:val="FunctionTok"/>
    <w:qFormat/>
    <w:rPr>
      <w:rFonts w:ascii="Consolas" w:hAnsi="Consolas" w:eastAsia="Courier New"/>
      <w:color w:val="06287E"/>
      <w:sz w:val="22"/>
    </w:rPr>
  </w:style>
  <w:style w:type="character" w:styleId="OtherTok">
    <w:name w:val="OtherTok"/>
    <w:qFormat/>
    <w:rPr>
      <w:rFonts w:ascii="Consolas" w:hAnsi="Consolas" w:eastAsia="Courier New"/>
      <w:color w:val="007020"/>
      <w:sz w:val="22"/>
    </w:rPr>
  </w:style>
  <w:style w:type="character" w:styleId="CommentVarTok">
    <w:name w:val="CommentVarTok"/>
    <w:qFormat/>
    <w:rPr>
      <w:rFonts w:ascii="Consolas" w:hAnsi="Consolas" w:eastAsia="Courier New"/>
      <w:b/>
      <w:i/>
      <w:color w:val="60A0B0"/>
      <w:sz w:val="22"/>
    </w:rPr>
  </w:style>
  <w:style w:type="character" w:styleId="AnnotationTok">
    <w:name w:val="AnnotationTok"/>
    <w:qFormat/>
    <w:rPr>
      <w:rFonts w:ascii="Consolas" w:hAnsi="Consolas" w:eastAsia="Courier New"/>
      <w:b/>
      <w:i/>
      <w:color w:val="60A0B0"/>
      <w:sz w:val="22"/>
    </w:rPr>
  </w:style>
  <w:style w:type="character" w:styleId="DocumentationTok">
    <w:name w:val="DocumentationTok"/>
    <w:qFormat/>
    <w:rPr>
      <w:rFonts w:ascii="Consolas" w:hAnsi="Consolas" w:eastAsia="Courier New"/>
      <w:i/>
      <w:color w:val="BA2121"/>
      <w:sz w:val="22"/>
    </w:rPr>
  </w:style>
  <w:style w:type="character" w:styleId="CommentTok">
    <w:name w:val="CommentTok"/>
    <w:qFormat/>
    <w:rPr>
      <w:rFonts w:ascii="Consolas" w:hAnsi="Consolas" w:eastAsia="Courier New"/>
      <w:i/>
      <w:color w:val="60A0B0"/>
      <w:sz w:val="22"/>
    </w:rPr>
  </w:style>
  <w:style w:type="character" w:styleId="ImportTok">
    <w:name w:val="ImportTok"/>
    <w:qFormat/>
    <w:rPr>
      <w:rFonts w:ascii="Consolas" w:hAnsi="Consolas" w:eastAsia="Courier New"/>
      <w:sz w:val="22"/>
    </w:rPr>
  </w:style>
  <w:style w:type="character" w:styleId="SpecialStringTok">
    <w:name w:val="SpecialStringTok"/>
    <w:qFormat/>
    <w:rPr>
      <w:rFonts w:ascii="Consolas" w:hAnsi="Consolas" w:eastAsia="Courier New"/>
      <w:color w:val="BB6688"/>
      <w:sz w:val="22"/>
    </w:rPr>
  </w:style>
  <w:style w:type="character" w:styleId="VerbatimStringTok">
    <w:name w:val="VerbatimStringTok"/>
    <w:qFormat/>
    <w:rPr>
      <w:rFonts w:ascii="Consolas" w:hAnsi="Consolas" w:eastAsia="Courier New"/>
      <w:color w:val="4070A0"/>
      <w:sz w:val="22"/>
    </w:rPr>
  </w:style>
  <w:style w:type="character" w:styleId="StringTok">
    <w:name w:val="StringTok"/>
    <w:qFormat/>
    <w:rPr>
      <w:rFonts w:ascii="Consolas" w:hAnsi="Consolas" w:eastAsia="Courier New"/>
      <w:color w:val="4070A0"/>
      <w:sz w:val="22"/>
    </w:rPr>
  </w:style>
  <w:style w:type="character" w:styleId="SpecialCharTok">
    <w:name w:val="SpecialCharTok"/>
    <w:qFormat/>
    <w:rPr>
      <w:rFonts w:ascii="Consolas" w:hAnsi="Consolas" w:eastAsia="Courier New"/>
      <w:color w:val="4070A0"/>
      <w:sz w:val="22"/>
    </w:rPr>
  </w:style>
  <w:style w:type="character" w:styleId="CharTok">
    <w:name w:val="CharTok"/>
    <w:qFormat/>
    <w:rPr>
      <w:rFonts w:ascii="Consolas" w:hAnsi="Consolas" w:eastAsia="Courier New"/>
      <w:color w:val="4070A0"/>
      <w:sz w:val="22"/>
    </w:rPr>
  </w:style>
  <w:style w:type="character" w:styleId="ConstantTok">
    <w:name w:val="ConstantTok"/>
    <w:qFormat/>
    <w:rPr>
      <w:rFonts w:ascii="Consolas" w:hAnsi="Consolas" w:eastAsia="Courier New"/>
      <w:color w:val="880000"/>
      <w:sz w:val="22"/>
    </w:rPr>
  </w:style>
  <w:style w:type="character" w:styleId="FloatTok">
    <w:name w:val="FloatTok"/>
    <w:qFormat/>
    <w:rPr>
      <w:rFonts w:ascii="Consolas" w:hAnsi="Consolas" w:eastAsia="Courier New"/>
      <w:color w:val="40A070"/>
      <w:sz w:val="22"/>
    </w:rPr>
  </w:style>
  <w:style w:type="character" w:styleId="BaseNTok">
    <w:name w:val="BaseNTok"/>
    <w:qFormat/>
    <w:rPr>
      <w:rFonts w:ascii="Consolas" w:hAnsi="Consolas" w:eastAsia="Courier New"/>
      <w:color w:val="40A070"/>
      <w:sz w:val="22"/>
    </w:rPr>
  </w:style>
  <w:style w:type="character" w:styleId="DecValTok">
    <w:name w:val="DecValTok"/>
    <w:qFormat/>
    <w:rPr>
      <w:rFonts w:ascii="Consolas" w:hAnsi="Consolas" w:eastAsia="Courier New"/>
      <w:color w:val="40A070"/>
      <w:sz w:val="22"/>
    </w:rPr>
  </w:style>
  <w:style w:type="character" w:styleId="DataTypeTok">
    <w:name w:val="DataTypeTok"/>
    <w:qFormat/>
    <w:rPr>
      <w:rFonts w:ascii="Consolas" w:hAnsi="Consolas" w:eastAsia="Courier New"/>
      <w:color w:val="902000"/>
      <w:sz w:val="22"/>
    </w:rPr>
  </w:style>
  <w:style w:type="character" w:styleId="KeywordTok">
    <w:name w:val="KeywordTok"/>
    <w:qFormat/>
    <w:rPr>
      <w:rFonts w:ascii="Consolas" w:hAnsi="Consolas" w:eastAsia="Courier New"/>
      <w:b/>
      <w:color w:val="007020"/>
      <w:sz w:val="22"/>
    </w:rPr>
  </w:style>
  <w:style w:type="character" w:styleId="CaptionChar">
    <w:name w:val="Caption Char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Arial" w:hAnsi="Arial"/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Arial" w:hAnsi="Arial"/>
      <w:sz w:val="24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>
    <w:name w:val="Source Code"/>
    <w:basedOn w:val="Normal"/>
    <w:qFormat/>
    <w:pPr/>
    <w:rPr>
      <w:rFonts w:ascii="Courier New" w:hAnsi="Courier New" w:eastAsia="Courier New"/>
    </w:rPr>
  </w:style>
  <w:style w:type="paragraph" w:styleId="Caption1">
    <w:name w:val="caption"/>
    <w:basedOn w:val="Normal"/>
    <w:qFormat/>
    <w:pPr>
      <w:spacing w:before="0" w:after="12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  <w:spacing w:before="0" w:after="0"/>
    </w:pPr>
    <w:rPr>
      <w:rFonts w:ascii="Roboto Black" w:hAnsi="Roboto Black"/>
      <w:b w:val="false"/>
      <w:i w:val="false"/>
      <w:sz w:val="20"/>
    </w:rPr>
  </w:style>
  <w:style w:type="paragraph" w:styleId="Footer">
    <w:name w:val="Footer"/>
    <w:basedOn w:val="HeaderandFooter"/>
    <w:pPr>
      <w:suppressLineNumbers/>
      <w:spacing w:before="0" w:after="0"/>
      <w:jc w:val="center"/>
    </w:pPr>
    <w:rPr>
      <w:rFonts w:ascii="Roboto" w:hAnsi="Roboto"/>
      <w:sz w:val="16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LibreOffice/7.4.2.3$Linux_X86_64 LibreOffice_project/382eef1f22670f7f4118c8c2dd222ec7ad009daf</Application>
  <AppVersion>15.0000</AppVersion>
  <Pages>2</Pages>
  <Words>77</Words>
  <Characters>394</Characters>
  <CharactersWithSpaces>504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2022-10-26T22:21:28Z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