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3FB85" w14:textId="1FD442A4" w:rsidR="00256EBA" w:rsidRDefault="00256EBA" w:rsidP="005858D1">
      <w:pPr>
        <w:spacing w:after="0" w:line="360"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PEMBAHASAN</w:t>
      </w:r>
    </w:p>
    <w:p w14:paraId="66DE5E05" w14:textId="63FCA0FE" w:rsidR="00256EBA" w:rsidRPr="00256EBA" w:rsidRDefault="00256EBA" w:rsidP="005858D1">
      <w:pPr>
        <w:spacing w:line="360" w:lineRule="auto"/>
        <w:jc w:val="both"/>
        <w:rPr>
          <w:rFonts w:ascii="Times New Roman" w:eastAsia="Times New Roman" w:hAnsi="Times New Roman" w:cs="Times New Roman"/>
          <w:sz w:val="24"/>
          <w:szCs w:val="24"/>
        </w:rPr>
      </w:pPr>
      <w:r w:rsidRPr="00256EBA">
        <w:rPr>
          <w:rFonts w:ascii="Times New Roman" w:eastAsia="Times New Roman" w:hAnsi="Times New Roman" w:cs="Times New Roman"/>
          <w:sz w:val="24"/>
          <w:szCs w:val="24"/>
        </w:rPr>
        <w:t>Majelis Tarjih Muhammadiyah dan Lembaga Bahtsul Masail Nahdlatul Ulama (LBMNU) memiliki peran yang sama sebagai lembaga ijtihad kolektif dalam menetapkan hukum Islam, khususnya dalam penentuan awal bulan hijriyah. Keduanya lahir dari kebutuhan umat Islam untuk memperoleh kepastian hukum di tengah perbedaan pendapat (khilafiyah) yang berkembang di masyarakat¹.</w:t>
      </w:r>
    </w:p>
    <w:p w14:paraId="7BC9DBE6" w14:textId="77777777" w:rsidR="00256EBA" w:rsidRPr="00256EBA" w:rsidRDefault="00256EBA" w:rsidP="005858D1">
      <w:pPr>
        <w:spacing w:before="100" w:beforeAutospacing="1" w:line="360" w:lineRule="auto"/>
        <w:jc w:val="both"/>
        <w:rPr>
          <w:rFonts w:ascii="Times New Roman" w:eastAsia="Times New Roman" w:hAnsi="Times New Roman" w:cs="Times New Roman"/>
          <w:sz w:val="24"/>
          <w:szCs w:val="24"/>
        </w:rPr>
      </w:pPr>
      <w:r w:rsidRPr="00256EBA">
        <w:rPr>
          <w:rFonts w:ascii="Times New Roman" w:eastAsia="Times New Roman" w:hAnsi="Times New Roman" w:cs="Times New Roman"/>
          <w:sz w:val="24"/>
          <w:szCs w:val="24"/>
        </w:rPr>
        <w:t>Dalam praktiknya, terdapat perbedaan mendasar dalam metode yang digunakan. LBMNU mengedepankan metode rukyatul hilal, yaitu pengamatan langsung terhadap hilal, yang kemudian didukung dengan hisab imkan rukyat sebagai alat bantu perhitungan². Metode ini menekankan pentingnya verifikasi empiris melalui penglihatan, sebagaimana yang telah lama menjadi tradisi ulama klasik, seperti Imam Nawawi. Pendekatan ini menunjukkan kesinambungan dengan tradisi fikih klasik yang lebih mengutamakan aspek observasional.</w:t>
      </w:r>
    </w:p>
    <w:p w14:paraId="0A0610F3" w14:textId="77777777" w:rsidR="00256EBA" w:rsidRPr="00256EBA" w:rsidRDefault="00256EBA" w:rsidP="00256EBA">
      <w:pPr>
        <w:spacing w:before="100" w:beforeAutospacing="1" w:line="360" w:lineRule="auto"/>
        <w:jc w:val="both"/>
        <w:rPr>
          <w:rFonts w:ascii="Times New Roman" w:eastAsia="Times New Roman" w:hAnsi="Times New Roman" w:cs="Times New Roman"/>
          <w:sz w:val="24"/>
          <w:szCs w:val="24"/>
        </w:rPr>
      </w:pPr>
      <w:r w:rsidRPr="00256EBA">
        <w:rPr>
          <w:rFonts w:ascii="Times New Roman" w:eastAsia="Times New Roman" w:hAnsi="Times New Roman" w:cs="Times New Roman"/>
          <w:sz w:val="24"/>
          <w:szCs w:val="24"/>
        </w:rPr>
        <w:t>Sebaliknya, Majelis Tarjih Muhammadiyah menggunakan metode hisab hakiki dengan kriteria wujudul hilal, yaitu penentuan awal bulan berdasarkan posisi bulan yang sudah berada di atas ufuk saat matahari terbenam, tanpa harus menunggu terlihatnya hilal³. Pendekatan ini mencerminkan penggunaan ilmu astronomi modern secara lebih dominan, serta menunjukkan keterbukaan terhadap pemikiran ulama kontemporer yang menerima hisab sebagai dasar penentuan waktu ibadah.</w:t>
      </w:r>
    </w:p>
    <w:p w14:paraId="25C500A3" w14:textId="77777777" w:rsidR="00256EBA" w:rsidRPr="00256EBA" w:rsidRDefault="00256EBA" w:rsidP="00256EBA">
      <w:pPr>
        <w:spacing w:before="100" w:beforeAutospacing="1" w:line="360" w:lineRule="auto"/>
        <w:jc w:val="both"/>
        <w:rPr>
          <w:rFonts w:ascii="Times New Roman" w:eastAsia="Times New Roman" w:hAnsi="Times New Roman" w:cs="Times New Roman"/>
          <w:sz w:val="24"/>
          <w:szCs w:val="24"/>
        </w:rPr>
      </w:pPr>
      <w:r w:rsidRPr="00256EBA">
        <w:rPr>
          <w:rFonts w:ascii="Times New Roman" w:eastAsia="Times New Roman" w:hAnsi="Times New Roman" w:cs="Times New Roman"/>
          <w:sz w:val="24"/>
          <w:szCs w:val="24"/>
        </w:rPr>
        <w:t>Meskipun berbeda metode, keduanya memiliki sejumlah persamaan yang signifikan. Pertama, keduanya sama-sama menggunakan ilmu hisab (astronomi) sebagai dasar dalam menghitung posisi bulan. Kedua, keduanya berlandaskan pada dalil Al-Qur’an dan Hadis, khususnya terkait perintah berpuasa dan berbuka berdasarkan hilal⁴. Ketiga, tujuan utama dari kedua metode tersebut adalah memberikan kepastian waktu pelaksanaan ibadah umat Islam, seperti Ramadhan, Syawal, dan Dzulhijjah.</w:t>
      </w:r>
    </w:p>
    <w:p w14:paraId="11B63633" w14:textId="77777777" w:rsidR="00256EBA" w:rsidRPr="00256EBA" w:rsidRDefault="00256EBA" w:rsidP="00256EBA">
      <w:pPr>
        <w:spacing w:before="100" w:beforeAutospacing="1" w:line="360" w:lineRule="auto"/>
        <w:jc w:val="both"/>
        <w:rPr>
          <w:rFonts w:ascii="Times New Roman" w:eastAsia="Times New Roman" w:hAnsi="Times New Roman" w:cs="Times New Roman"/>
          <w:sz w:val="24"/>
          <w:szCs w:val="24"/>
        </w:rPr>
      </w:pPr>
      <w:r w:rsidRPr="00256EBA">
        <w:rPr>
          <w:rFonts w:ascii="Times New Roman" w:eastAsia="Times New Roman" w:hAnsi="Times New Roman" w:cs="Times New Roman"/>
          <w:sz w:val="24"/>
          <w:szCs w:val="24"/>
        </w:rPr>
        <w:t>Selain itu, terdapat tokoh-tokoh ulama yang relevan dengan kedua pendekatan ini. Dalam konteks hisab, tokoh seperti Sadoeddin Djambek dan K.H. Ahmad Dahlan berperan penting dalam pengembangan metode ini di Indonesia. Sementara itu, Imam asy-Syaukani menjadi salah satu ulama yang membuka ruang penggunaan hisab dalam kondisi tertentu⁵.</w:t>
      </w:r>
    </w:p>
    <w:p w14:paraId="2DF69B78" w14:textId="5869F683" w:rsidR="00256EBA" w:rsidRPr="00256EBA" w:rsidRDefault="00256EBA" w:rsidP="005858D1">
      <w:pPr>
        <w:spacing w:before="100" w:beforeAutospacing="1" w:line="360" w:lineRule="auto"/>
        <w:jc w:val="both"/>
        <w:rPr>
          <w:rFonts w:ascii="Times New Roman" w:eastAsia="Times New Roman" w:hAnsi="Times New Roman" w:cs="Times New Roman"/>
          <w:sz w:val="24"/>
          <w:szCs w:val="24"/>
        </w:rPr>
      </w:pPr>
      <w:r w:rsidRPr="00256EBA">
        <w:rPr>
          <w:rFonts w:ascii="Times New Roman" w:eastAsia="Times New Roman" w:hAnsi="Times New Roman" w:cs="Times New Roman"/>
          <w:sz w:val="24"/>
          <w:szCs w:val="24"/>
        </w:rPr>
        <w:t>Dengan demikian, perbedaan antara LBMNU dan Majelis Tarjih bukanlah bentuk pertentangan, melainkan variasi metodologis dalam memahami dalil syar’i dan perkembangan ilmu pengetahuan. Keduanya tetap berada dalam kerangka ijtihad yang sah dan bertujuan untuk kemaslahatan umat Islam</w:t>
      </w:r>
    </w:p>
    <w:p w14:paraId="68B71140" w14:textId="7422D65B" w:rsidR="00256EBA" w:rsidRDefault="00256EBA" w:rsidP="005858D1">
      <w:pPr>
        <w:spacing w:before="100" w:beforeAutospacing="1" w:after="100" w:afterAutospacing="1" w:line="360" w:lineRule="auto"/>
        <w:rPr>
          <w:rFonts w:ascii="Times New Roman" w:eastAsia="Times New Roman" w:hAnsi="Times New Roman" w:cs="Times New Roman"/>
          <w:sz w:val="24"/>
          <w:szCs w:val="24"/>
        </w:rPr>
      </w:pPr>
      <w:r w:rsidRPr="00256EBA">
        <w:rPr>
          <w:rFonts w:ascii="Times New Roman" w:eastAsia="Times New Roman" w:hAnsi="Times New Roman" w:cs="Times New Roman"/>
          <w:b/>
          <w:bCs/>
          <w:sz w:val="24"/>
          <w:szCs w:val="24"/>
        </w:rPr>
        <w:t>Footnote</w:t>
      </w:r>
      <w:r w:rsidRPr="00256EBA">
        <w:rPr>
          <w:rFonts w:ascii="Times New Roman" w:eastAsia="Times New Roman" w:hAnsi="Times New Roman" w:cs="Times New Roman"/>
          <w:sz w:val="24"/>
          <w:szCs w:val="24"/>
        </w:rPr>
        <w:br/>
        <w:t xml:space="preserve">¹ Insanul Muttaqin, </w:t>
      </w:r>
      <w:r w:rsidRPr="00256EBA">
        <w:rPr>
          <w:rFonts w:ascii="Times New Roman" w:eastAsia="Times New Roman" w:hAnsi="Times New Roman" w:cs="Times New Roman"/>
          <w:i/>
          <w:iCs/>
          <w:sz w:val="24"/>
          <w:szCs w:val="24"/>
        </w:rPr>
        <w:t>Peran Majelis Tarjih dalam Pengembangan Muhammadiyah</w:t>
      </w:r>
      <w:r w:rsidRPr="00256EBA">
        <w:rPr>
          <w:rFonts w:ascii="Times New Roman" w:eastAsia="Times New Roman" w:hAnsi="Times New Roman" w:cs="Times New Roman"/>
          <w:sz w:val="24"/>
          <w:szCs w:val="24"/>
        </w:rPr>
        <w:t>, 2018.</w:t>
      </w:r>
      <w:r w:rsidRPr="00256EBA">
        <w:rPr>
          <w:rFonts w:ascii="Times New Roman" w:eastAsia="Times New Roman" w:hAnsi="Times New Roman" w:cs="Times New Roman"/>
          <w:sz w:val="24"/>
          <w:szCs w:val="24"/>
        </w:rPr>
        <w:br/>
      </w:r>
      <w:r w:rsidRPr="00256EBA">
        <w:rPr>
          <w:rFonts w:ascii="Times New Roman" w:eastAsia="Times New Roman" w:hAnsi="Times New Roman" w:cs="Times New Roman"/>
          <w:sz w:val="24"/>
          <w:szCs w:val="24"/>
        </w:rPr>
        <w:lastRenderedPageBreak/>
        <w:t>² NU Online, “Rukyatul Hilal dan Kriterianya.”</w:t>
      </w:r>
      <w:r w:rsidRPr="00256EBA">
        <w:rPr>
          <w:rFonts w:ascii="Times New Roman" w:eastAsia="Times New Roman" w:hAnsi="Times New Roman" w:cs="Times New Roman"/>
          <w:sz w:val="24"/>
          <w:szCs w:val="24"/>
        </w:rPr>
        <w:br/>
        <w:t>³ Wikipedia, “Hisab dan Penentuan Awal Bulan Hijriyah.”</w:t>
      </w:r>
      <w:r w:rsidRPr="00256EBA">
        <w:rPr>
          <w:rFonts w:ascii="Times New Roman" w:eastAsia="Times New Roman" w:hAnsi="Times New Roman" w:cs="Times New Roman"/>
          <w:sz w:val="24"/>
          <w:szCs w:val="24"/>
        </w:rPr>
        <w:br/>
        <w:t>⁴ Rupi’i Amri, “Hisab Hakiki Wujudul Hilal,” Jurnal Tarjih, 2016.</w:t>
      </w:r>
      <w:r w:rsidRPr="00256EBA">
        <w:rPr>
          <w:rFonts w:ascii="Times New Roman" w:eastAsia="Times New Roman" w:hAnsi="Times New Roman" w:cs="Times New Roman"/>
          <w:sz w:val="24"/>
          <w:szCs w:val="24"/>
        </w:rPr>
        <w:br/>
        <w:t>⁵ Jateng NU &amp; Tirto.id, kajian Bahtsul Masail dan tokoh hisab.</w:t>
      </w:r>
    </w:p>
    <w:p w14:paraId="26CEBCE1" w14:textId="77777777" w:rsidR="005858D1" w:rsidRDefault="005858D1" w:rsidP="005858D1">
      <w:pPr>
        <w:spacing w:after="0" w:line="360" w:lineRule="auto"/>
        <w:rPr>
          <w:rFonts w:ascii="Times New Roman" w:eastAsia="Times New Roman" w:hAnsi="Times New Roman" w:cs="Times New Roman"/>
          <w:sz w:val="24"/>
          <w:szCs w:val="24"/>
        </w:rPr>
      </w:pPr>
      <w:r w:rsidRPr="005858D1">
        <w:rPr>
          <w:rFonts w:ascii="Times New Roman" w:eastAsia="Times New Roman" w:hAnsi="Times New Roman" w:cs="Times New Roman"/>
          <w:b/>
          <w:bCs/>
          <w:sz w:val="24"/>
          <w:szCs w:val="24"/>
        </w:rPr>
        <w:t>Daftar Pustaka</w:t>
      </w:r>
    </w:p>
    <w:p w14:paraId="6EADF777" w14:textId="77777777" w:rsidR="005858D1" w:rsidRDefault="005858D1" w:rsidP="005858D1">
      <w:pPr>
        <w:spacing w:after="0" w:line="360" w:lineRule="auto"/>
        <w:rPr>
          <w:rFonts w:ascii="Times New Roman" w:eastAsia="Times New Roman" w:hAnsi="Times New Roman" w:cs="Times New Roman"/>
          <w:sz w:val="24"/>
          <w:szCs w:val="24"/>
        </w:rPr>
      </w:pPr>
      <w:r w:rsidRPr="005858D1">
        <w:rPr>
          <w:rFonts w:ascii="Times New Roman" w:eastAsia="Times New Roman" w:hAnsi="Times New Roman" w:cs="Times New Roman"/>
          <w:sz w:val="24"/>
          <w:szCs w:val="24"/>
        </w:rPr>
        <w:t xml:space="preserve">Amri, Rupi’i. 2016. </w:t>
      </w:r>
      <w:r w:rsidRPr="005858D1">
        <w:rPr>
          <w:rFonts w:ascii="Times New Roman" w:eastAsia="Times New Roman" w:hAnsi="Times New Roman" w:cs="Times New Roman"/>
          <w:i/>
          <w:iCs/>
          <w:sz w:val="24"/>
          <w:szCs w:val="24"/>
        </w:rPr>
        <w:t>Hisab Hakiki Wujudul Hilal</w:t>
      </w:r>
      <w:r w:rsidRPr="005858D1">
        <w:rPr>
          <w:rFonts w:ascii="Times New Roman" w:eastAsia="Times New Roman" w:hAnsi="Times New Roman" w:cs="Times New Roman"/>
          <w:sz w:val="24"/>
          <w:szCs w:val="24"/>
        </w:rPr>
        <w:t xml:space="preserve">. Jurnal Tarjih Vol. 13 No. 2. </w:t>
      </w:r>
    </w:p>
    <w:p w14:paraId="6B8A8CCA" w14:textId="77777777" w:rsidR="005858D1" w:rsidRDefault="005858D1" w:rsidP="005858D1">
      <w:pPr>
        <w:spacing w:after="0" w:line="360" w:lineRule="auto"/>
        <w:rPr>
          <w:rFonts w:ascii="Times New Roman" w:eastAsia="Times New Roman" w:hAnsi="Times New Roman" w:cs="Times New Roman"/>
          <w:sz w:val="24"/>
          <w:szCs w:val="24"/>
        </w:rPr>
      </w:pPr>
      <w:r w:rsidRPr="005858D1">
        <w:rPr>
          <w:rFonts w:ascii="Times New Roman" w:eastAsia="Times New Roman" w:hAnsi="Times New Roman" w:cs="Times New Roman"/>
          <w:sz w:val="24"/>
          <w:szCs w:val="24"/>
        </w:rPr>
        <w:t xml:space="preserve">Muttaqin, Insanul. 2018. </w:t>
      </w:r>
      <w:r w:rsidRPr="005858D1">
        <w:rPr>
          <w:rFonts w:ascii="Times New Roman" w:eastAsia="Times New Roman" w:hAnsi="Times New Roman" w:cs="Times New Roman"/>
          <w:i/>
          <w:iCs/>
          <w:sz w:val="24"/>
          <w:szCs w:val="24"/>
        </w:rPr>
        <w:t>Peran Majelis Tarjih dalam Pengembangan Muhammadiyah</w:t>
      </w:r>
      <w:r w:rsidRPr="005858D1">
        <w:rPr>
          <w:rFonts w:ascii="Times New Roman" w:eastAsia="Times New Roman" w:hAnsi="Times New Roman" w:cs="Times New Roman"/>
          <w:sz w:val="24"/>
          <w:szCs w:val="24"/>
        </w:rPr>
        <w:t xml:space="preserve">. </w:t>
      </w:r>
    </w:p>
    <w:p w14:paraId="3392E203" w14:textId="77777777" w:rsidR="005858D1" w:rsidRDefault="005858D1" w:rsidP="005858D1">
      <w:pPr>
        <w:spacing w:after="0" w:line="360" w:lineRule="auto"/>
        <w:rPr>
          <w:rFonts w:ascii="Times New Roman" w:eastAsia="Times New Roman" w:hAnsi="Times New Roman" w:cs="Times New Roman"/>
          <w:sz w:val="24"/>
          <w:szCs w:val="24"/>
        </w:rPr>
      </w:pPr>
      <w:r w:rsidRPr="005858D1">
        <w:rPr>
          <w:rFonts w:ascii="Times New Roman" w:eastAsia="Times New Roman" w:hAnsi="Times New Roman" w:cs="Times New Roman"/>
          <w:sz w:val="24"/>
          <w:szCs w:val="24"/>
        </w:rPr>
        <w:t xml:space="preserve">NU Online. “Rukyatul Hilal dan Kriterianya.” </w:t>
      </w:r>
    </w:p>
    <w:p w14:paraId="37B1939C" w14:textId="77777777" w:rsidR="005858D1" w:rsidRDefault="005858D1" w:rsidP="005858D1">
      <w:pPr>
        <w:spacing w:after="0" w:line="360" w:lineRule="auto"/>
        <w:rPr>
          <w:rFonts w:ascii="Times New Roman" w:eastAsia="Times New Roman" w:hAnsi="Times New Roman" w:cs="Times New Roman"/>
          <w:sz w:val="24"/>
          <w:szCs w:val="24"/>
        </w:rPr>
      </w:pPr>
      <w:r w:rsidRPr="005858D1">
        <w:rPr>
          <w:rFonts w:ascii="Times New Roman" w:eastAsia="Times New Roman" w:hAnsi="Times New Roman" w:cs="Times New Roman"/>
          <w:sz w:val="24"/>
          <w:szCs w:val="24"/>
        </w:rPr>
        <w:t xml:space="preserve">Tirto.id. “Sejarah dan Peran Bahtsul Masail.” </w:t>
      </w:r>
    </w:p>
    <w:p w14:paraId="7F10E8BD" w14:textId="42FB246F" w:rsidR="005858D1" w:rsidRPr="005858D1" w:rsidRDefault="005858D1" w:rsidP="005858D1">
      <w:pPr>
        <w:spacing w:after="0" w:line="360" w:lineRule="auto"/>
        <w:rPr>
          <w:rFonts w:ascii="Times New Roman" w:eastAsia="Times New Roman" w:hAnsi="Times New Roman" w:cs="Times New Roman"/>
          <w:sz w:val="24"/>
          <w:szCs w:val="24"/>
        </w:rPr>
      </w:pPr>
      <w:r w:rsidRPr="005858D1">
        <w:rPr>
          <w:rFonts w:ascii="Times New Roman" w:eastAsia="Times New Roman" w:hAnsi="Times New Roman" w:cs="Times New Roman"/>
          <w:sz w:val="24"/>
          <w:szCs w:val="24"/>
        </w:rPr>
        <w:t>Wikipedia. “Hisab dan Penentuan Awal Bulan Hijriyah.”</w:t>
      </w:r>
    </w:p>
    <w:p w14:paraId="778647EF" w14:textId="77777777" w:rsidR="005858D1" w:rsidRPr="00256EBA" w:rsidRDefault="005858D1" w:rsidP="005858D1">
      <w:pPr>
        <w:spacing w:before="240" w:after="100" w:afterAutospacing="1" w:line="360" w:lineRule="auto"/>
        <w:rPr>
          <w:rFonts w:ascii="Times New Roman" w:eastAsia="Times New Roman" w:hAnsi="Times New Roman" w:cs="Times New Roman"/>
          <w:sz w:val="24"/>
          <w:szCs w:val="24"/>
        </w:rPr>
      </w:pPr>
    </w:p>
    <w:p w14:paraId="320D6D17" w14:textId="77777777" w:rsidR="00D5489D" w:rsidRPr="00256EBA" w:rsidRDefault="00D5489D" w:rsidP="00B40885"/>
    <w:sectPr w:rsidR="00D5489D" w:rsidRPr="00256EBA" w:rsidSect="00936295">
      <w:pgSz w:w="11907" w:h="1871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FF67F3" w14:textId="77777777" w:rsidR="000B5023" w:rsidRDefault="000B5023" w:rsidP="00256EBA">
      <w:pPr>
        <w:spacing w:after="0" w:line="240" w:lineRule="auto"/>
      </w:pPr>
      <w:r>
        <w:separator/>
      </w:r>
    </w:p>
  </w:endnote>
  <w:endnote w:type="continuationSeparator" w:id="0">
    <w:p w14:paraId="3B55CAEE" w14:textId="77777777" w:rsidR="000B5023" w:rsidRDefault="000B5023" w:rsidP="00256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52AC69" w14:textId="77777777" w:rsidR="000B5023" w:rsidRDefault="000B5023" w:rsidP="00256EBA">
      <w:pPr>
        <w:spacing w:after="0" w:line="240" w:lineRule="auto"/>
      </w:pPr>
      <w:r>
        <w:separator/>
      </w:r>
    </w:p>
  </w:footnote>
  <w:footnote w:type="continuationSeparator" w:id="0">
    <w:p w14:paraId="1430C968" w14:textId="77777777" w:rsidR="000B5023" w:rsidRDefault="000B5023" w:rsidP="00256E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90944"/>
    <w:multiLevelType w:val="multilevel"/>
    <w:tmpl w:val="67D4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54B27"/>
    <w:multiLevelType w:val="multilevel"/>
    <w:tmpl w:val="D7546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70B"/>
    <w:rsid w:val="0007770B"/>
    <w:rsid w:val="000B5023"/>
    <w:rsid w:val="00256EBA"/>
    <w:rsid w:val="0034449F"/>
    <w:rsid w:val="00543343"/>
    <w:rsid w:val="005858D1"/>
    <w:rsid w:val="006142BA"/>
    <w:rsid w:val="00635081"/>
    <w:rsid w:val="00856CCD"/>
    <w:rsid w:val="00936295"/>
    <w:rsid w:val="00B40885"/>
    <w:rsid w:val="00BB757F"/>
    <w:rsid w:val="00D5489D"/>
    <w:rsid w:val="00D56F44"/>
    <w:rsid w:val="00D9480D"/>
    <w:rsid w:val="00DC6063"/>
    <w:rsid w:val="00E1553D"/>
    <w:rsid w:val="00F431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D9375"/>
  <w15:chartTrackingRefBased/>
  <w15:docId w15:val="{32233581-C49F-4FF5-9B70-2608BF265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7770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7770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07770B"/>
    <w:rPr>
      <w:rFonts w:ascii="Times New Roman" w:eastAsia="Times New Roman" w:hAnsi="Times New Roman" w:cs="Times New Roman"/>
      <w:b/>
      <w:bCs/>
      <w:sz w:val="36"/>
      <w:szCs w:val="36"/>
    </w:rPr>
  </w:style>
  <w:style w:type="character" w:styleId="Strong">
    <w:name w:val="Strong"/>
    <w:basedOn w:val="DefaultParagraphFont"/>
    <w:uiPriority w:val="22"/>
    <w:qFormat/>
    <w:rsid w:val="0007770B"/>
    <w:rPr>
      <w:b/>
      <w:bCs/>
    </w:rPr>
  </w:style>
  <w:style w:type="character" w:styleId="Emphasis">
    <w:name w:val="Emphasis"/>
    <w:basedOn w:val="DefaultParagraphFont"/>
    <w:uiPriority w:val="20"/>
    <w:qFormat/>
    <w:rsid w:val="0007770B"/>
    <w:rPr>
      <w:i/>
      <w:iCs/>
    </w:rPr>
  </w:style>
  <w:style w:type="character" w:styleId="Hyperlink">
    <w:name w:val="Hyperlink"/>
    <w:basedOn w:val="DefaultParagraphFont"/>
    <w:uiPriority w:val="99"/>
    <w:semiHidden/>
    <w:unhideWhenUsed/>
    <w:rsid w:val="0007770B"/>
    <w:rPr>
      <w:color w:val="0000FF"/>
      <w:u w:val="single"/>
    </w:rPr>
  </w:style>
  <w:style w:type="paragraph" w:styleId="FootnoteText">
    <w:name w:val="footnote text"/>
    <w:basedOn w:val="Normal"/>
    <w:link w:val="FootnoteTextChar"/>
    <w:uiPriority w:val="99"/>
    <w:semiHidden/>
    <w:unhideWhenUsed/>
    <w:rsid w:val="00256EB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56EBA"/>
    <w:rPr>
      <w:sz w:val="20"/>
      <w:szCs w:val="20"/>
    </w:rPr>
  </w:style>
  <w:style w:type="character" w:styleId="FootnoteReference">
    <w:name w:val="footnote reference"/>
    <w:basedOn w:val="DefaultParagraphFont"/>
    <w:uiPriority w:val="99"/>
    <w:semiHidden/>
    <w:unhideWhenUsed/>
    <w:rsid w:val="00256EB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228698">
      <w:bodyDiv w:val="1"/>
      <w:marLeft w:val="0"/>
      <w:marRight w:val="0"/>
      <w:marTop w:val="0"/>
      <w:marBottom w:val="0"/>
      <w:divBdr>
        <w:top w:val="none" w:sz="0" w:space="0" w:color="auto"/>
        <w:left w:val="none" w:sz="0" w:space="0" w:color="auto"/>
        <w:bottom w:val="none" w:sz="0" w:space="0" w:color="auto"/>
        <w:right w:val="none" w:sz="0" w:space="0" w:color="auto"/>
      </w:divBdr>
    </w:div>
    <w:div w:id="613094078">
      <w:bodyDiv w:val="1"/>
      <w:marLeft w:val="0"/>
      <w:marRight w:val="0"/>
      <w:marTop w:val="0"/>
      <w:marBottom w:val="0"/>
      <w:divBdr>
        <w:top w:val="none" w:sz="0" w:space="0" w:color="auto"/>
        <w:left w:val="none" w:sz="0" w:space="0" w:color="auto"/>
        <w:bottom w:val="none" w:sz="0" w:space="0" w:color="auto"/>
        <w:right w:val="none" w:sz="0" w:space="0" w:color="auto"/>
      </w:divBdr>
    </w:div>
    <w:div w:id="736316621">
      <w:bodyDiv w:val="1"/>
      <w:marLeft w:val="0"/>
      <w:marRight w:val="0"/>
      <w:marTop w:val="0"/>
      <w:marBottom w:val="0"/>
      <w:divBdr>
        <w:top w:val="none" w:sz="0" w:space="0" w:color="auto"/>
        <w:left w:val="none" w:sz="0" w:space="0" w:color="auto"/>
        <w:bottom w:val="none" w:sz="0" w:space="0" w:color="auto"/>
        <w:right w:val="none" w:sz="0" w:space="0" w:color="auto"/>
      </w:divBdr>
    </w:div>
    <w:div w:id="1400860422">
      <w:bodyDiv w:val="1"/>
      <w:marLeft w:val="0"/>
      <w:marRight w:val="0"/>
      <w:marTop w:val="0"/>
      <w:marBottom w:val="0"/>
      <w:divBdr>
        <w:top w:val="none" w:sz="0" w:space="0" w:color="auto"/>
        <w:left w:val="none" w:sz="0" w:space="0" w:color="auto"/>
        <w:bottom w:val="none" w:sz="0" w:space="0" w:color="auto"/>
        <w:right w:val="none" w:sz="0" w:space="0" w:color="auto"/>
      </w:divBdr>
    </w:div>
    <w:div w:id="1779980579">
      <w:bodyDiv w:val="1"/>
      <w:marLeft w:val="0"/>
      <w:marRight w:val="0"/>
      <w:marTop w:val="0"/>
      <w:marBottom w:val="0"/>
      <w:divBdr>
        <w:top w:val="none" w:sz="0" w:space="0" w:color="auto"/>
        <w:left w:val="none" w:sz="0" w:space="0" w:color="auto"/>
        <w:bottom w:val="none" w:sz="0" w:space="0" w:color="auto"/>
        <w:right w:val="none" w:sz="0" w:space="0" w:color="auto"/>
      </w:divBdr>
    </w:div>
    <w:div w:id="1884364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F0CD6B-C7BF-43BF-852C-2E9FFA689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458</Words>
  <Characters>2612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dc:creator>
  <cp:keywords/>
  <dc:description/>
  <cp:lastModifiedBy>GH</cp:lastModifiedBy>
  <cp:revision>5</cp:revision>
  <dcterms:created xsi:type="dcterms:W3CDTF">2026-04-02T02:35:00Z</dcterms:created>
  <dcterms:modified xsi:type="dcterms:W3CDTF">2026-04-09T02:37:00Z</dcterms:modified>
</cp:coreProperties>
</file>