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A43DB" w14:textId="470FA32A" w:rsidR="00E832F9" w:rsidRDefault="00E832F9" w:rsidP="00952DB0">
      <w:pPr>
        <w:spacing w:line="360" w:lineRule="auto"/>
        <w:jc w:val="both"/>
        <w:rPr>
          <w:rFonts w:ascii="Times New Roman" w:hAnsi="Times New Roman" w:cs="Times New Roman"/>
          <w:sz w:val="24"/>
          <w:szCs w:val="24"/>
        </w:rPr>
      </w:pPr>
      <w:r w:rsidRPr="00AB3CD4">
        <w:rPr>
          <w:rFonts w:ascii="Times New Roman" w:hAnsi="Times New Roman" w:cs="Times New Roman"/>
          <w:sz w:val="24"/>
          <w:szCs w:val="24"/>
        </w:rPr>
        <w:t>NAMA</w:t>
      </w:r>
      <w:r w:rsidRPr="00AB3CD4">
        <w:rPr>
          <w:rFonts w:ascii="Times New Roman" w:hAnsi="Times New Roman" w:cs="Times New Roman"/>
          <w:sz w:val="24"/>
          <w:szCs w:val="24"/>
        </w:rPr>
        <w:tab/>
      </w:r>
      <w:r w:rsidRPr="00AB3CD4">
        <w:rPr>
          <w:rFonts w:ascii="Times New Roman" w:hAnsi="Times New Roman" w:cs="Times New Roman"/>
          <w:sz w:val="24"/>
          <w:szCs w:val="24"/>
        </w:rPr>
        <w:tab/>
      </w:r>
      <w:r w:rsidRPr="00AB3CD4">
        <w:rPr>
          <w:rFonts w:ascii="Times New Roman" w:hAnsi="Times New Roman" w:cs="Times New Roman"/>
          <w:sz w:val="24"/>
          <w:szCs w:val="24"/>
        </w:rPr>
        <w:tab/>
        <w:t>: MUHAMMAD FARIZI AL LATIEF</w:t>
      </w:r>
      <w:r w:rsidRPr="00AB3CD4">
        <w:rPr>
          <w:rFonts w:ascii="Times New Roman" w:hAnsi="Times New Roman" w:cs="Times New Roman"/>
          <w:sz w:val="24"/>
          <w:szCs w:val="24"/>
        </w:rPr>
        <w:tab/>
      </w:r>
    </w:p>
    <w:p w14:paraId="26266E97" w14:textId="59EA5F63" w:rsidR="00516059" w:rsidRDefault="00516059" w:rsidP="00952DB0">
      <w:pPr>
        <w:spacing w:after="0" w:line="360" w:lineRule="auto"/>
        <w:ind w:left="2160" w:right="60" w:hanging="2160"/>
        <w:jc w:val="both"/>
        <w:rPr>
          <w:rFonts w:ascii="Times New Roman" w:hAnsi="Times New Roman" w:cs="Times New Roman"/>
          <w:sz w:val="24"/>
          <w:szCs w:val="24"/>
        </w:rPr>
      </w:pPr>
    </w:p>
    <w:p w14:paraId="16722B70" w14:textId="4CE41A2B" w:rsidR="00516059" w:rsidRPr="00516059" w:rsidRDefault="00516059" w:rsidP="00952DB0">
      <w:pPr>
        <w:pStyle w:val="ListParagraph"/>
        <w:numPr>
          <w:ilvl w:val="0"/>
          <w:numId w:val="9"/>
        </w:numPr>
        <w:spacing w:after="0" w:line="360" w:lineRule="auto"/>
        <w:ind w:left="709" w:right="60"/>
        <w:jc w:val="both"/>
        <w:rPr>
          <w:rFonts w:ascii="Times New Roman" w:hAnsi="Times New Roman" w:cs="Times New Roman"/>
          <w:sz w:val="24"/>
          <w:szCs w:val="24"/>
        </w:rPr>
      </w:pPr>
      <w:r w:rsidRPr="00516059">
        <w:rPr>
          <w:rFonts w:ascii="Times New Roman" w:hAnsi="Times New Roman" w:cs="Times New Roman"/>
          <w:sz w:val="24"/>
          <w:szCs w:val="24"/>
        </w:rPr>
        <w:t>Mengapa perbedaan penetapan awal bulan (khususnya Ramadhan, Syawal, dan Dzulhijjah) di Indonesia selalu menjadi isu yang krusial dan menarik untuk diteliti?</w:t>
      </w:r>
    </w:p>
    <w:p w14:paraId="7D6FE84D" w14:textId="3E357667" w:rsidR="00516059" w:rsidRPr="00516059" w:rsidRDefault="00516059" w:rsidP="00952DB0">
      <w:pPr>
        <w:pStyle w:val="ListParagraph"/>
        <w:numPr>
          <w:ilvl w:val="0"/>
          <w:numId w:val="9"/>
        </w:numPr>
        <w:spacing w:after="0" w:line="360" w:lineRule="auto"/>
        <w:ind w:left="709" w:right="60"/>
        <w:jc w:val="both"/>
        <w:rPr>
          <w:rFonts w:ascii="Times New Roman" w:hAnsi="Times New Roman" w:cs="Times New Roman"/>
          <w:sz w:val="24"/>
          <w:szCs w:val="24"/>
        </w:rPr>
      </w:pPr>
      <w:r w:rsidRPr="00516059">
        <w:rPr>
          <w:rFonts w:ascii="Times New Roman" w:hAnsi="Times New Roman" w:cs="Times New Roman"/>
          <w:sz w:val="24"/>
          <w:szCs w:val="24"/>
        </w:rPr>
        <w:t>Bagaimana fenomena perbedaan tersebut memengaruhi kehidupan sosial keagamaan masyarakat Muslim di Indonesia?</w:t>
      </w:r>
    </w:p>
    <w:p w14:paraId="0DD7D345" w14:textId="77777777" w:rsidR="00E832F9" w:rsidRPr="00AB3CD4" w:rsidRDefault="00E832F9" w:rsidP="00952DB0">
      <w:pPr>
        <w:spacing w:line="360" w:lineRule="auto"/>
        <w:jc w:val="both"/>
        <w:rPr>
          <w:rFonts w:ascii="Times New Roman" w:hAnsi="Times New Roman" w:cs="Times New Roman"/>
          <w:sz w:val="24"/>
          <w:szCs w:val="24"/>
        </w:rPr>
      </w:pPr>
    </w:p>
    <w:p w14:paraId="7F99DA47" w14:textId="611FE46E" w:rsidR="00E832F9" w:rsidRPr="001C3357" w:rsidRDefault="00E832F9" w:rsidP="00952DB0">
      <w:pPr>
        <w:pStyle w:val="Heading2"/>
        <w:numPr>
          <w:ilvl w:val="0"/>
          <w:numId w:val="8"/>
        </w:numPr>
        <w:jc w:val="both"/>
        <w:rPr>
          <w:rFonts w:ascii="Times New Roman" w:hAnsi="Times New Roman" w:cs="Times New Roman"/>
          <w:b/>
          <w:bCs/>
          <w:color w:val="auto"/>
          <w:sz w:val="24"/>
          <w:szCs w:val="24"/>
        </w:rPr>
      </w:pPr>
      <w:r w:rsidRPr="001C3357">
        <w:rPr>
          <w:rFonts w:ascii="Times New Roman" w:hAnsi="Times New Roman" w:cs="Times New Roman"/>
          <w:b/>
          <w:bCs/>
          <w:color w:val="auto"/>
          <w:sz w:val="24"/>
          <w:szCs w:val="24"/>
        </w:rPr>
        <w:t>PENDAHULUAN</w:t>
      </w:r>
    </w:p>
    <w:p w14:paraId="4B93EE1F" w14:textId="0EA34996" w:rsidR="00516059" w:rsidRDefault="00516059" w:rsidP="00952DB0">
      <w:pPr>
        <w:spacing w:line="360" w:lineRule="auto"/>
        <w:ind w:left="720" w:firstLine="720"/>
        <w:jc w:val="both"/>
        <w:rPr>
          <w:rFonts w:ascii="Times New Roman" w:hAnsi="Times New Roman" w:cs="Times New Roman"/>
          <w:sz w:val="24"/>
          <w:szCs w:val="24"/>
        </w:rPr>
      </w:pPr>
      <w:r w:rsidRPr="00516059">
        <w:rPr>
          <w:rFonts w:ascii="Times New Roman" w:hAnsi="Times New Roman" w:cs="Times New Roman"/>
          <w:sz w:val="24"/>
          <w:szCs w:val="24"/>
        </w:rPr>
        <w:t>Penetapan awal bulan kamariah, khususnya Ramadhan, Syawal, dan Dzulhijjah di Indonesia, bukan sekadar persoalan astronomis semata, melainkan manifestasi dari keragaman ijtihad dan otoritas keagamaan. Isu ini tetap krusial dan menarik untuk diteliti karena melibatkan dua kekuatan besar ormas Islam, yakni Muhammadiyah dengan Majelis Tarjih-nya dan Nahdlatul Ulama (NU) melalui Lembaga Bahtsul Masail (LBM). Ketegangan antara metode Hisab Hakiki Wujudul Hilal yang dipegang Muhammadiyah dengan Rukyatul Hilal yang didukung Imkanur Rukyat oleh NU, menciptakan dualisme legalitas yang sah secara syar'i namun sering kali berbeda dalam praktik eksekusi ibadah.</w:t>
      </w:r>
      <w:r w:rsidR="009C564B">
        <w:rPr>
          <w:rStyle w:val="FootnoteReference"/>
          <w:rFonts w:ascii="Times New Roman" w:hAnsi="Times New Roman" w:cs="Times New Roman"/>
          <w:sz w:val="24"/>
          <w:szCs w:val="24"/>
        </w:rPr>
        <w:footnoteReference w:id="1"/>
      </w:r>
    </w:p>
    <w:p w14:paraId="36E10313" w14:textId="4B3CDE72" w:rsidR="00516059" w:rsidRDefault="00516059" w:rsidP="00952DB0">
      <w:pPr>
        <w:spacing w:line="360" w:lineRule="auto"/>
        <w:ind w:left="720" w:firstLine="720"/>
        <w:jc w:val="both"/>
        <w:rPr>
          <w:rFonts w:ascii="Times New Roman" w:hAnsi="Times New Roman" w:cs="Times New Roman"/>
          <w:sz w:val="24"/>
          <w:szCs w:val="24"/>
        </w:rPr>
      </w:pPr>
      <w:r w:rsidRPr="00516059">
        <w:rPr>
          <w:rFonts w:ascii="Times New Roman" w:hAnsi="Times New Roman" w:cs="Times New Roman"/>
          <w:sz w:val="24"/>
          <w:szCs w:val="24"/>
        </w:rPr>
        <w:t>Majelis Tarjih Muhammadiyah memandang bahwa penggunaan hisab merupakan upaya untuk melenyapkan perselisihan umat dalam memenuhi ajaran agama dengan cara memilih dalil yang dianggap paling kuat dan sah untuk dijalankan. Di sisi lain, Bahtsul Masail NU muncul dari kebutuhan masyarakat akan hukum Islam yang praktis dan kontekstual, di mana keputusannya merupakan hasil ijtihad kolektif para ulama yang mempertimbangkan tradisi serta mazhab fikih secara bertahap dan toleran.</w:t>
      </w:r>
      <w:r w:rsidR="009C564B">
        <w:rPr>
          <w:rStyle w:val="FootnoteReference"/>
          <w:rFonts w:ascii="Times New Roman" w:hAnsi="Times New Roman" w:cs="Times New Roman"/>
          <w:sz w:val="24"/>
          <w:szCs w:val="24"/>
        </w:rPr>
        <w:footnoteReference w:id="2"/>
      </w:r>
    </w:p>
    <w:p w14:paraId="3189CF23" w14:textId="0B8DCEE8" w:rsidR="00516059" w:rsidRDefault="00516059" w:rsidP="00952DB0">
      <w:pPr>
        <w:spacing w:line="360" w:lineRule="auto"/>
        <w:ind w:left="720" w:firstLine="720"/>
        <w:jc w:val="both"/>
        <w:rPr>
          <w:rFonts w:ascii="Times New Roman" w:hAnsi="Times New Roman" w:cs="Times New Roman"/>
          <w:sz w:val="24"/>
          <w:szCs w:val="24"/>
        </w:rPr>
      </w:pPr>
      <w:r w:rsidRPr="00516059">
        <w:rPr>
          <w:rFonts w:ascii="Times New Roman" w:hAnsi="Times New Roman" w:cs="Times New Roman"/>
          <w:sz w:val="24"/>
          <w:szCs w:val="24"/>
        </w:rPr>
        <w:t xml:space="preserve">Secara sosial keagamaan, fenomena perbedaan ini memiliki dampak yang luas bagi masyarakat Muslim Indonesia. Di satu sisi, ia mencerminkan dinamika intelektual dan kedewasaan dalam beragama, namun di sisi lain, perbedaan tersebut sering kali memicu kompleksitas di tingkat akar rumput, mulai dari sinkronisasi pelaksanaan ibadah hingga persoalan administratif negara. Oleh karena itu, penelitian ini penting </w:t>
      </w:r>
      <w:r w:rsidRPr="00516059">
        <w:rPr>
          <w:rFonts w:ascii="Times New Roman" w:hAnsi="Times New Roman" w:cs="Times New Roman"/>
          <w:sz w:val="24"/>
          <w:szCs w:val="24"/>
        </w:rPr>
        <w:lastRenderedPageBreak/>
        <w:t>untuk membedah lebih dalam perbandingan metodologi kedua lembaga tersebut guna memotret akar perbedaan serta mencari titik temu (konvergensi) demi terciptanya harmonisasi hukum Islam di Indonesia</w:t>
      </w:r>
      <w:r w:rsidR="009C564B">
        <w:rPr>
          <w:rStyle w:val="FootnoteReference"/>
          <w:rFonts w:ascii="Times New Roman" w:hAnsi="Times New Roman" w:cs="Times New Roman"/>
          <w:sz w:val="24"/>
          <w:szCs w:val="24"/>
        </w:rPr>
        <w:footnoteReference w:id="3"/>
      </w:r>
    </w:p>
    <w:p w14:paraId="6454E0EE" w14:textId="503BAF78" w:rsidR="007A6107" w:rsidRPr="00381839" w:rsidRDefault="007A6107" w:rsidP="00381839">
      <w:pPr>
        <w:pStyle w:val="ListParagraph"/>
        <w:numPr>
          <w:ilvl w:val="0"/>
          <w:numId w:val="8"/>
        </w:numPr>
        <w:spacing w:line="360" w:lineRule="auto"/>
        <w:jc w:val="both"/>
        <w:rPr>
          <w:rFonts w:ascii="Times New Roman" w:hAnsi="Times New Roman" w:cs="Times New Roman"/>
          <w:b/>
          <w:bCs/>
          <w:sz w:val="24"/>
          <w:szCs w:val="24"/>
        </w:rPr>
      </w:pPr>
      <w:r w:rsidRPr="00381839">
        <w:rPr>
          <w:rFonts w:ascii="Times New Roman" w:hAnsi="Times New Roman" w:cs="Times New Roman"/>
          <w:b/>
          <w:bCs/>
          <w:sz w:val="24"/>
          <w:szCs w:val="24"/>
        </w:rPr>
        <w:t>PEMBAHASAN</w:t>
      </w:r>
    </w:p>
    <w:p w14:paraId="3CD92FCB" w14:textId="3A6AEAA4" w:rsidR="007A6107" w:rsidRPr="007A6107" w:rsidRDefault="007A6107" w:rsidP="00381839">
      <w:pPr>
        <w:pStyle w:val="ListParagraph"/>
        <w:numPr>
          <w:ilvl w:val="0"/>
          <w:numId w:val="11"/>
        </w:numPr>
        <w:spacing w:line="360" w:lineRule="auto"/>
        <w:ind w:left="993" w:firstLine="0"/>
        <w:jc w:val="both"/>
        <w:rPr>
          <w:rFonts w:ascii="Times New Roman" w:hAnsi="Times New Roman" w:cs="Times New Roman"/>
          <w:sz w:val="24"/>
          <w:szCs w:val="24"/>
        </w:rPr>
      </w:pPr>
      <w:r>
        <w:rPr>
          <w:rFonts w:ascii="Times New Roman" w:hAnsi="Times New Roman" w:cs="Times New Roman"/>
          <w:sz w:val="24"/>
          <w:szCs w:val="24"/>
        </w:rPr>
        <w:t>Majelis Tarjih Muhamadiyah</w:t>
      </w:r>
    </w:p>
    <w:p w14:paraId="2059E40E" w14:textId="45B15485"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Majelis Tarjih dan Tajdid Muhammadiyah merupakan lembaga ijtihad dalam lingkungan Muhammadiyah yang berfungsi menetapkan hukum Islam berdasarkan Al-Qur’an dan Sunnah dengan pendekatan rasional dan metodologis.</w:t>
      </w:r>
      <w:r w:rsidR="009C564B">
        <w:rPr>
          <w:rStyle w:val="FootnoteReference"/>
          <w:rFonts w:ascii="Times New Roman" w:hAnsi="Times New Roman" w:cs="Times New Roman"/>
          <w:sz w:val="24"/>
          <w:szCs w:val="24"/>
        </w:rPr>
        <w:footnoteReference w:id="4"/>
      </w:r>
    </w:p>
    <w:p w14:paraId="02FA373F" w14:textId="43517256"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Secara historis, Majelis Tarjih didirikan untuk menjawab kebutuhan umat terhadap kepastian hukum Islam yang lebih sistematis dan terbebas dari taklid, seiring dengan semangat pembaruan (tajdid) dalam Muhammadiyah.</w:t>
      </w:r>
      <w:r w:rsidR="009C564B">
        <w:rPr>
          <w:rStyle w:val="FootnoteReference"/>
          <w:rFonts w:ascii="Times New Roman" w:hAnsi="Times New Roman" w:cs="Times New Roman"/>
          <w:sz w:val="24"/>
          <w:szCs w:val="24"/>
        </w:rPr>
        <w:footnoteReference w:id="5"/>
      </w:r>
    </w:p>
    <w:p w14:paraId="54129588" w14:textId="17D0DE92"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Fungsi utama Majelis Tarjih adalah melakukan ijtihad dalam persoalan keagamaan serta memberikan pedoman hukum bagi warga Muhammadiyah. Adapun tujuannya adalah mewujudkan pemahaman Islam yang murni sesuai Al-Qur’an dan Sunnah serta menyeragamkan praktik keagamaan dalam Muhammadiyah.</w:t>
      </w:r>
      <w:r w:rsidR="00770427">
        <w:rPr>
          <w:rStyle w:val="FootnoteReference"/>
          <w:rFonts w:ascii="Times New Roman" w:hAnsi="Times New Roman" w:cs="Times New Roman"/>
          <w:sz w:val="24"/>
          <w:szCs w:val="24"/>
        </w:rPr>
        <w:footnoteReference w:id="6"/>
      </w:r>
    </w:p>
    <w:p w14:paraId="36A83A6B" w14:textId="0BB554E8" w:rsid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Tugasnya meliputi penyusunan fatwa, pengembangan metodologi istinbath hukum, serta penetapan pedoman ibadah termasuk penentuan awal bulan Hijriyah.</w:t>
      </w:r>
      <w:r w:rsidR="00770427">
        <w:rPr>
          <w:rStyle w:val="FootnoteReference"/>
          <w:rFonts w:ascii="Times New Roman" w:hAnsi="Times New Roman" w:cs="Times New Roman"/>
          <w:sz w:val="24"/>
          <w:szCs w:val="24"/>
        </w:rPr>
        <w:footnoteReference w:id="7"/>
      </w:r>
    </w:p>
    <w:p w14:paraId="67245E39" w14:textId="37501B0D" w:rsidR="007A6107" w:rsidRDefault="007A6107" w:rsidP="00381839">
      <w:pPr>
        <w:pStyle w:val="ListParagraph"/>
        <w:numPr>
          <w:ilvl w:val="0"/>
          <w:numId w:val="11"/>
        </w:numPr>
        <w:spacing w:line="360" w:lineRule="auto"/>
        <w:ind w:left="993" w:firstLine="0"/>
        <w:jc w:val="both"/>
        <w:rPr>
          <w:rFonts w:ascii="Times New Roman" w:hAnsi="Times New Roman" w:cs="Times New Roman"/>
          <w:sz w:val="24"/>
          <w:szCs w:val="24"/>
        </w:rPr>
      </w:pPr>
      <w:r w:rsidRPr="007A6107">
        <w:rPr>
          <w:rFonts w:ascii="Times New Roman" w:hAnsi="Times New Roman" w:cs="Times New Roman"/>
          <w:sz w:val="24"/>
          <w:szCs w:val="24"/>
        </w:rPr>
        <w:t>Lembaga Bahtsul Masail NU (LBMNU)</w:t>
      </w:r>
    </w:p>
    <w:p w14:paraId="1A290859" w14:textId="2374CAC5"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Nahdlatul Ulama melalui Lembaga Bahtsul Masail (LBM) merupakan forum ijtihad kolektif yang membahas persoalan keagamaan dengan merujuk pada kitab-kitab fiqh klasik (turats).</w:t>
      </w:r>
    </w:p>
    <w:p w14:paraId="2063A95D" w14:textId="4CC4581A"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Latar belakang berdirinya LBMNU adalah kebutuhan untuk menjawab persoalan umat dengan tetap berpegang pada tradisi mazhab, khususnya mazhab Syafi’i.</w:t>
      </w:r>
    </w:p>
    <w:p w14:paraId="00C9E637" w14:textId="0D524CC0"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 xml:space="preserve">Fungsi LBMNU adalah membahas dan memutuskan masalah keagamaan serta menjaga kesinambungan tradisi keilmuan Islam </w:t>
      </w:r>
      <w:proofErr w:type="gramStart"/>
      <w:r w:rsidRPr="007A6107">
        <w:rPr>
          <w:rFonts w:ascii="Times New Roman" w:hAnsi="Times New Roman" w:cs="Times New Roman"/>
          <w:sz w:val="24"/>
          <w:szCs w:val="24"/>
        </w:rPr>
        <w:t>klasik.^</w:t>
      </w:r>
      <w:proofErr w:type="gramEnd"/>
      <w:r w:rsidRPr="007A6107">
        <w:rPr>
          <w:rFonts w:ascii="Times New Roman" w:hAnsi="Times New Roman" w:cs="Times New Roman"/>
          <w:sz w:val="24"/>
          <w:szCs w:val="24"/>
        </w:rPr>
        <w:t xml:space="preserve">8 Tujuannya memberikan </w:t>
      </w:r>
      <w:r w:rsidRPr="007A6107">
        <w:rPr>
          <w:rFonts w:ascii="Times New Roman" w:hAnsi="Times New Roman" w:cs="Times New Roman"/>
          <w:sz w:val="24"/>
          <w:szCs w:val="24"/>
        </w:rPr>
        <w:lastRenderedPageBreak/>
        <w:t>solusi hukum berbasis mazhab dan menjaga otoritas ulama dalam penetapan hukum.</w:t>
      </w:r>
      <w:r w:rsidR="00770427">
        <w:rPr>
          <w:rStyle w:val="FootnoteReference"/>
          <w:rFonts w:ascii="Times New Roman" w:hAnsi="Times New Roman" w:cs="Times New Roman"/>
          <w:sz w:val="24"/>
          <w:szCs w:val="24"/>
        </w:rPr>
        <w:footnoteReference w:id="8"/>
      </w:r>
    </w:p>
    <w:p w14:paraId="1B499867" w14:textId="32E771F4" w:rsid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Adapun tugasnya meliputi pengkajian persoalan fiqh kontemporer dan menghasilkan keputusan melalui forum musyawarah ulama.</w:t>
      </w:r>
    </w:p>
    <w:p w14:paraId="5AD7FB3B" w14:textId="7CA7E230" w:rsidR="007A6107" w:rsidRDefault="007A6107" w:rsidP="00381839">
      <w:pPr>
        <w:pStyle w:val="ListParagraph"/>
        <w:numPr>
          <w:ilvl w:val="0"/>
          <w:numId w:val="11"/>
        </w:numPr>
        <w:spacing w:line="360" w:lineRule="auto"/>
        <w:ind w:left="993" w:firstLine="0"/>
        <w:jc w:val="both"/>
        <w:rPr>
          <w:rFonts w:ascii="Times New Roman" w:hAnsi="Times New Roman" w:cs="Times New Roman"/>
          <w:sz w:val="24"/>
          <w:szCs w:val="24"/>
        </w:rPr>
      </w:pPr>
      <w:r w:rsidRPr="007A6107">
        <w:rPr>
          <w:rFonts w:ascii="Times New Roman" w:hAnsi="Times New Roman" w:cs="Times New Roman"/>
          <w:sz w:val="24"/>
          <w:szCs w:val="24"/>
        </w:rPr>
        <w:t>Rukyatul Hilal dan Kriterianya</w:t>
      </w:r>
    </w:p>
    <w:p w14:paraId="0AD1812E" w14:textId="32F7DCD8"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Rukyatul hilal adalah metode penentuan awal bulan Hijriyah dengan cara melihat langsung hilal setelah terjadinya ijtimak.</w:t>
      </w:r>
    </w:p>
    <w:p w14:paraId="466EA23A" w14:textId="69D63E28"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Dasar rukyat adalah hadis Nabi yang diriwayatkan oleh Shahih Bukhari dan Shahih Muslim: “Berpuasalah kamu karena melihat hilal dan berbukalah karena melihatnya.</w:t>
      </w:r>
    </w:p>
    <w:p w14:paraId="7C101AA9" w14:textId="1FA061E9" w:rsidR="007A6107" w:rsidRPr="007A6107" w:rsidRDefault="007A6107" w:rsidP="00381839">
      <w:pPr>
        <w:spacing w:line="360" w:lineRule="auto"/>
        <w:ind w:left="993"/>
        <w:jc w:val="both"/>
        <w:rPr>
          <w:rFonts w:ascii="Times New Roman" w:hAnsi="Times New Roman" w:cs="Times New Roman"/>
          <w:sz w:val="24"/>
          <w:szCs w:val="24"/>
        </w:rPr>
      </w:pPr>
      <w:r w:rsidRPr="007A6107">
        <w:rPr>
          <w:rFonts w:ascii="Times New Roman" w:hAnsi="Times New Roman" w:cs="Times New Roman"/>
          <w:sz w:val="24"/>
          <w:szCs w:val="24"/>
        </w:rPr>
        <w:t>Adapun kriteria rukyatul hilal meliputi:</w:t>
      </w:r>
    </w:p>
    <w:p w14:paraId="10DBB591" w14:textId="77777777" w:rsidR="007A6107" w:rsidRPr="007A6107" w:rsidRDefault="007A6107" w:rsidP="00381839">
      <w:pPr>
        <w:pStyle w:val="ListParagraph"/>
        <w:numPr>
          <w:ilvl w:val="0"/>
          <w:numId w:val="12"/>
        </w:numPr>
        <w:spacing w:line="360" w:lineRule="auto"/>
        <w:ind w:left="993" w:firstLine="0"/>
        <w:jc w:val="both"/>
        <w:rPr>
          <w:rFonts w:ascii="Times New Roman" w:hAnsi="Times New Roman" w:cs="Times New Roman"/>
          <w:sz w:val="24"/>
          <w:szCs w:val="24"/>
        </w:rPr>
      </w:pPr>
      <w:r w:rsidRPr="007A6107">
        <w:rPr>
          <w:rFonts w:ascii="Times New Roman" w:hAnsi="Times New Roman" w:cs="Times New Roman"/>
          <w:sz w:val="24"/>
          <w:szCs w:val="24"/>
        </w:rPr>
        <w:t>Terjadinya ijtimak sebelum matahari terbenam</w:t>
      </w:r>
    </w:p>
    <w:p w14:paraId="57D12C01" w14:textId="77777777" w:rsidR="007A6107" w:rsidRPr="007A6107" w:rsidRDefault="007A6107" w:rsidP="00381839">
      <w:pPr>
        <w:pStyle w:val="ListParagraph"/>
        <w:numPr>
          <w:ilvl w:val="0"/>
          <w:numId w:val="12"/>
        </w:numPr>
        <w:spacing w:line="360" w:lineRule="auto"/>
        <w:ind w:left="993" w:firstLine="0"/>
        <w:jc w:val="both"/>
        <w:rPr>
          <w:rFonts w:ascii="Times New Roman" w:hAnsi="Times New Roman" w:cs="Times New Roman"/>
          <w:sz w:val="24"/>
          <w:szCs w:val="24"/>
        </w:rPr>
      </w:pPr>
      <w:r w:rsidRPr="007A6107">
        <w:rPr>
          <w:rFonts w:ascii="Times New Roman" w:hAnsi="Times New Roman" w:cs="Times New Roman"/>
          <w:sz w:val="24"/>
          <w:szCs w:val="24"/>
        </w:rPr>
        <w:t>Hilal berada di atas ufuk saat matahari terbenam</w:t>
      </w:r>
    </w:p>
    <w:p w14:paraId="03737BE6" w14:textId="0412A338" w:rsidR="007A6107" w:rsidRDefault="007A6107" w:rsidP="00381839">
      <w:pPr>
        <w:pStyle w:val="ListParagraph"/>
        <w:numPr>
          <w:ilvl w:val="0"/>
          <w:numId w:val="12"/>
        </w:numPr>
        <w:spacing w:line="360" w:lineRule="auto"/>
        <w:ind w:left="993" w:firstLine="0"/>
        <w:jc w:val="both"/>
        <w:rPr>
          <w:rFonts w:ascii="Times New Roman" w:hAnsi="Times New Roman" w:cs="Times New Roman"/>
          <w:sz w:val="24"/>
          <w:szCs w:val="24"/>
        </w:rPr>
      </w:pPr>
      <w:r w:rsidRPr="007A6107">
        <w:rPr>
          <w:rFonts w:ascii="Times New Roman" w:hAnsi="Times New Roman" w:cs="Times New Roman"/>
          <w:sz w:val="24"/>
          <w:szCs w:val="24"/>
        </w:rPr>
        <w:t>Hilal dapat terlihat (imkanur rukyat) sesuai standar astronomi tertentu</w:t>
      </w:r>
    </w:p>
    <w:p w14:paraId="17FE1DAB" w14:textId="2F329D55" w:rsidR="007A6107" w:rsidRDefault="007A6107" w:rsidP="00381839">
      <w:pPr>
        <w:pStyle w:val="ListParagraph"/>
        <w:numPr>
          <w:ilvl w:val="0"/>
          <w:numId w:val="11"/>
        </w:numPr>
        <w:spacing w:line="360" w:lineRule="auto"/>
        <w:ind w:left="993" w:firstLine="0"/>
        <w:jc w:val="both"/>
        <w:rPr>
          <w:rFonts w:ascii="Times New Roman" w:hAnsi="Times New Roman" w:cs="Times New Roman"/>
          <w:sz w:val="24"/>
          <w:szCs w:val="24"/>
        </w:rPr>
      </w:pPr>
      <w:r w:rsidRPr="007A6107">
        <w:rPr>
          <w:rFonts w:ascii="Times New Roman" w:hAnsi="Times New Roman" w:cs="Times New Roman"/>
          <w:sz w:val="24"/>
          <w:szCs w:val="24"/>
        </w:rPr>
        <w:t>Hisab dan Kriterianya</w:t>
      </w:r>
    </w:p>
    <w:p w14:paraId="3EFCE43A" w14:textId="25BEA277" w:rsidR="00952DB0" w:rsidRPr="00952DB0" w:rsidRDefault="00952DB0" w:rsidP="00381839">
      <w:pPr>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t>Hisab adalah metode penentuan awal bulan Hijriyah dengan menggunakan perhitungan astronomi untuk mengetahui posisi bulan.</w:t>
      </w:r>
    </w:p>
    <w:p w14:paraId="66AD217B" w14:textId="6AEE9EC5" w:rsidR="00952DB0" w:rsidRPr="00952DB0" w:rsidRDefault="00952DB0" w:rsidP="00381839">
      <w:pPr>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t>Dalam praktiknya, hisab memiliki beberapa kriteria, di antaranya:</w:t>
      </w:r>
    </w:p>
    <w:p w14:paraId="1AEA672B" w14:textId="77777777" w:rsidR="00952DB0" w:rsidRPr="00952DB0" w:rsidRDefault="00952DB0" w:rsidP="00381839">
      <w:pPr>
        <w:pStyle w:val="ListParagraph"/>
        <w:numPr>
          <w:ilvl w:val="0"/>
          <w:numId w:val="13"/>
        </w:numPr>
        <w:spacing w:line="360" w:lineRule="auto"/>
        <w:ind w:left="993" w:firstLine="0"/>
        <w:jc w:val="both"/>
        <w:rPr>
          <w:rFonts w:ascii="Times New Roman" w:hAnsi="Times New Roman" w:cs="Times New Roman"/>
          <w:sz w:val="24"/>
          <w:szCs w:val="24"/>
        </w:rPr>
      </w:pPr>
      <w:r w:rsidRPr="00952DB0">
        <w:rPr>
          <w:rFonts w:ascii="Times New Roman" w:hAnsi="Times New Roman" w:cs="Times New Roman"/>
          <w:sz w:val="24"/>
          <w:szCs w:val="24"/>
        </w:rPr>
        <w:t>Wujudul hilal (hilal sudah di atas ufuk)</w:t>
      </w:r>
    </w:p>
    <w:p w14:paraId="2D849D49" w14:textId="77777777" w:rsidR="00952DB0" w:rsidRPr="00952DB0" w:rsidRDefault="00952DB0" w:rsidP="00381839">
      <w:pPr>
        <w:pStyle w:val="ListParagraph"/>
        <w:numPr>
          <w:ilvl w:val="0"/>
          <w:numId w:val="13"/>
        </w:numPr>
        <w:spacing w:line="360" w:lineRule="auto"/>
        <w:ind w:left="993" w:firstLine="0"/>
        <w:jc w:val="both"/>
        <w:rPr>
          <w:rFonts w:ascii="Times New Roman" w:hAnsi="Times New Roman" w:cs="Times New Roman"/>
          <w:sz w:val="24"/>
          <w:szCs w:val="24"/>
        </w:rPr>
      </w:pPr>
      <w:r w:rsidRPr="00952DB0">
        <w:rPr>
          <w:rFonts w:ascii="Times New Roman" w:hAnsi="Times New Roman" w:cs="Times New Roman"/>
          <w:sz w:val="24"/>
          <w:szCs w:val="24"/>
        </w:rPr>
        <w:t>Imkanur rukyat (kemungkinan terlihat)</w:t>
      </w:r>
    </w:p>
    <w:p w14:paraId="415BF242" w14:textId="33535C78" w:rsidR="00952DB0" w:rsidRPr="00952DB0" w:rsidRDefault="00952DB0" w:rsidP="00381839">
      <w:pPr>
        <w:pStyle w:val="ListParagraph"/>
        <w:numPr>
          <w:ilvl w:val="0"/>
          <w:numId w:val="13"/>
        </w:numPr>
        <w:spacing w:line="360" w:lineRule="auto"/>
        <w:ind w:left="993" w:firstLine="0"/>
        <w:jc w:val="both"/>
        <w:rPr>
          <w:rFonts w:ascii="Times New Roman" w:hAnsi="Times New Roman" w:cs="Times New Roman"/>
          <w:sz w:val="24"/>
          <w:szCs w:val="24"/>
        </w:rPr>
      </w:pPr>
      <w:r w:rsidRPr="00952DB0">
        <w:rPr>
          <w:rFonts w:ascii="Times New Roman" w:hAnsi="Times New Roman" w:cs="Times New Roman"/>
          <w:sz w:val="24"/>
          <w:szCs w:val="24"/>
        </w:rPr>
        <w:t>Perhitungan ijtimak, tinggi hilal, dan elongasi</w:t>
      </w:r>
    </w:p>
    <w:p w14:paraId="7FA81B56" w14:textId="1F6E65A1" w:rsidR="00952DB0" w:rsidRDefault="00952DB0" w:rsidP="00381839">
      <w:pPr>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t>Metode ini digunakan oleh Majelis Tarjih dan Tajdid Muhammadiyah dalam menetapkan awal bulan Hijriyah.</w:t>
      </w:r>
      <w:r w:rsidR="00770427">
        <w:rPr>
          <w:rStyle w:val="FootnoteReference"/>
          <w:rFonts w:ascii="Times New Roman" w:hAnsi="Times New Roman" w:cs="Times New Roman"/>
          <w:sz w:val="24"/>
          <w:szCs w:val="24"/>
        </w:rPr>
        <w:footnoteReference w:id="9"/>
      </w:r>
    </w:p>
    <w:p w14:paraId="1674A57E" w14:textId="03A0FE50" w:rsidR="00952DB0" w:rsidRDefault="00952DB0" w:rsidP="00381839">
      <w:pPr>
        <w:pStyle w:val="ListParagraph"/>
        <w:numPr>
          <w:ilvl w:val="0"/>
          <w:numId w:val="11"/>
        </w:numPr>
        <w:spacing w:line="360" w:lineRule="auto"/>
        <w:ind w:left="993" w:firstLine="0"/>
        <w:jc w:val="both"/>
        <w:rPr>
          <w:rFonts w:ascii="Times New Roman" w:hAnsi="Times New Roman" w:cs="Times New Roman"/>
          <w:sz w:val="24"/>
          <w:szCs w:val="24"/>
        </w:rPr>
      </w:pPr>
      <w:r>
        <w:rPr>
          <w:rFonts w:ascii="Times New Roman" w:hAnsi="Times New Roman" w:cs="Times New Roman"/>
          <w:sz w:val="24"/>
          <w:szCs w:val="24"/>
        </w:rPr>
        <w:t xml:space="preserve">Pembahasan </w:t>
      </w:r>
    </w:p>
    <w:p w14:paraId="6EC4D4DC" w14:textId="5408C638" w:rsidR="00952DB0" w:rsidRDefault="00952DB0" w:rsidP="00381839">
      <w:pPr>
        <w:pStyle w:val="ListParagraph"/>
        <w:numPr>
          <w:ilvl w:val="7"/>
          <w:numId w:val="13"/>
        </w:numPr>
        <w:spacing w:line="360" w:lineRule="auto"/>
        <w:ind w:left="993" w:firstLine="0"/>
        <w:jc w:val="both"/>
        <w:rPr>
          <w:rFonts w:ascii="Times New Roman" w:hAnsi="Times New Roman" w:cs="Times New Roman"/>
          <w:sz w:val="24"/>
          <w:szCs w:val="24"/>
        </w:rPr>
      </w:pPr>
      <w:r w:rsidRPr="00952DB0">
        <w:rPr>
          <w:rFonts w:ascii="Times New Roman" w:hAnsi="Times New Roman" w:cs="Times New Roman"/>
          <w:sz w:val="24"/>
          <w:szCs w:val="24"/>
        </w:rPr>
        <w:t>Perbedaan Metode LBMNU dan Majelis Tarjih</w:t>
      </w:r>
    </w:p>
    <w:p w14:paraId="1134EB69" w14:textId="6727B8FF" w:rsidR="00952DB0" w:rsidRPr="00952DB0" w:rsidRDefault="00952DB0" w:rsidP="00381839">
      <w:pPr>
        <w:pStyle w:val="ListParagraph"/>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t>Perbedaan utama antara Nahdlatul Ulama dan Majelis Tarjih dan Tajdid Muhammadiyah terletak pada pendekatan penentuan awal bulan Hijriyah.</w:t>
      </w:r>
    </w:p>
    <w:p w14:paraId="3637DCEF" w14:textId="2F9E69E7" w:rsidR="00952DB0" w:rsidRPr="00952DB0" w:rsidRDefault="00952DB0" w:rsidP="00381839">
      <w:pPr>
        <w:pStyle w:val="ListParagraph"/>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t>LBMNU mengutamakan rukyatul hilal dan menjadikan hisab sebagai alat bantu.</w:t>
      </w:r>
    </w:p>
    <w:p w14:paraId="255B2BD5" w14:textId="34F610D4" w:rsidR="00952DB0" w:rsidRPr="00952DB0" w:rsidRDefault="00952DB0" w:rsidP="00381839">
      <w:pPr>
        <w:pStyle w:val="ListParagraph"/>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lastRenderedPageBreak/>
        <w:t>Majelis Tarjih Muhammadiyah menggunakan hisab hakiki dengan kriteria wujudul hilal tanpa mensyaratkan rukyat.</w:t>
      </w:r>
    </w:p>
    <w:p w14:paraId="57B28FA0" w14:textId="6B518A06" w:rsidR="00952DB0" w:rsidRDefault="00952DB0" w:rsidP="00381839">
      <w:pPr>
        <w:pStyle w:val="ListParagraph"/>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t>Dalam literatur fiqh, metode rukyat banyak dianut oleh ulama klasik seperti Imam Syafi'i, sedangkan pendekatan rasional berbasis hisab dikembangkan oleh tokoh modern seperti Muhammad Abduh dan Rashid Rida.</w:t>
      </w:r>
      <w:r w:rsidR="00770427">
        <w:rPr>
          <w:rStyle w:val="FootnoteReference"/>
          <w:rFonts w:ascii="Times New Roman" w:hAnsi="Times New Roman" w:cs="Times New Roman"/>
          <w:sz w:val="24"/>
          <w:szCs w:val="24"/>
        </w:rPr>
        <w:footnoteReference w:id="10"/>
      </w:r>
    </w:p>
    <w:p w14:paraId="110084D8" w14:textId="4C18F4E2" w:rsidR="00952DB0" w:rsidRDefault="00952DB0" w:rsidP="00381839">
      <w:pPr>
        <w:pStyle w:val="ListParagraph"/>
        <w:numPr>
          <w:ilvl w:val="7"/>
          <w:numId w:val="13"/>
        </w:numPr>
        <w:spacing w:line="360" w:lineRule="auto"/>
        <w:ind w:left="993" w:firstLine="0"/>
        <w:jc w:val="both"/>
        <w:rPr>
          <w:rFonts w:ascii="Times New Roman" w:hAnsi="Times New Roman" w:cs="Times New Roman"/>
          <w:sz w:val="24"/>
          <w:szCs w:val="24"/>
        </w:rPr>
      </w:pPr>
      <w:r w:rsidRPr="00952DB0">
        <w:rPr>
          <w:rFonts w:ascii="Times New Roman" w:hAnsi="Times New Roman" w:cs="Times New Roman"/>
          <w:sz w:val="24"/>
          <w:szCs w:val="24"/>
        </w:rPr>
        <w:t>Persamaan Metode LBMNU dan Majelis Tarjih</w:t>
      </w:r>
    </w:p>
    <w:p w14:paraId="71FEB45C" w14:textId="39024872" w:rsidR="00952DB0" w:rsidRPr="00952DB0" w:rsidRDefault="00952DB0" w:rsidP="00381839">
      <w:pPr>
        <w:pStyle w:val="ListParagraph"/>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t>Meskipun berbeda metode, keduanya memiliki persamaan:</w:t>
      </w:r>
    </w:p>
    <w:p w14:paraId="535A1965" w14:textId="7C697174" w:rsidR="00952DB0" w:rsidRPr="00952DB0" w:rsidRDefault="00952DB0" w:rsidP="00381839">
      <w:pPr>
        <w:pStyle w:val="ListParagraph"/>
        <w:numPr>
          <w:ilvl w:val="3"/>
          <w:numId w:val="14"/>
        </w:numPr>
        <w:spacing w:line="360" w:lineRule="auto"/>
        <w:ind w:left="993" w:firstLine="0"/>
        <w:jc w:val="both"/>
        <w:rPr>
          <w:rFonts w:ascii="Times New Roman" w:hAnsi="Times New Roman" w:cs="Times New Roman"/>
          <w:sz w:val="24"/>
          <w:szCs w:val="24"/>
        </w:rPr>
      </w:pPr>
      <w:r w:rsidRPr="00952DB0">
        <w:rPr>
          <w:rFonts w:ascii="Times New Roman" w:hAnsi="Times New Roman" w:cs="Times New Roman"/>
          <w:sz w:val="24"/>
          <w:szCs w:val="24"/>
        </w:rPr>
        <w:t>Sama-sama berlandaskan Al-Qur’an dan hadis</w:t>
      </w:r>
    </w:p>
    <w:p w14:paraId="428D07CA" w14:textId="40CB2859" w:rsidR="00952DB0" w:rsidRPr="00952DB0" w:rsidRDefault="00952DB0" w:rsidP="00381839">
      <w:pPr>
        <w:pStyle w:val="ListParagraph"/>
        <w:numPr>
          <w:ilvl w:val="3"/>
          <w:numId w:val="14"/>
        </w:numPr>
        <w:spacing w:line="360" w:lineRule="auto"/>
        <w:ind w:left="993" w:firstLine="0"/>
        <w:jc w:val="both"/>
        <w:rPr>
          <w:rFonts w:ascii="Times New Roman" w:hAnsi="Times New Roman" w:cs="Times New Roman"/>
          <w:sz w:val="24"/>
          <w:szCs w:val="24"/>
        </w:rPr>
      </w:pPr>
      <w:r w:rsidRPr="00952DB0">
        <w:rPr>
          <w:rFonts w:ascii="Times New Roman" w:hAnsi="Times New Roman" w:cs="Times New Roman"/>
          <w:sz w:val="24"/>
          <w:szCs w:val="24"/>
        </w:rPr>
        <w:t>Sama-sama menjadikan ijtimak sebagai dasar awal penentuan bulan</w:t>
      </w:r>
    </w:p>
    <w:p w14:paraId="793EF2DE" w14:textId="75E535E9" w:rsidR="00952DB0" w:rsidRPr="00952DB0" w:rsidRDefault="00952DB0" w:rsidP="00381839">
      <w:pPr>
        <w:pStyle w:val="ListParagraph"/>
        <w:numPr>
          <w:ilvl w:val="3"/>
          <w:numId w:val="14"/>
        </w:numPr>
        <w:spacing w:line="360" w:lineRule="auto"/>
        <w:ind w:left="993" w:firstLine="0"/>
        <w:jc w:val="both"/>
        <w:rPr>
          <w:rFonts w:ascii="Times New Roman" w:hAnsi="Times New Roman" w:cs="Times New Roman"/>
          <w:sz w:val="24"/>
          <w:szCs w:val="24"/>
        </w:rPr>
      </w:pPr>
      <w:r w:rsidRPr="00952DB0">
        <w:rPr>
          <w:rFonts w:ascii="Times New Roman" w:hAnsi="Times New Roman" w:cs="Times New Roman"/>
          <w:sz w:val="24"/>
          <w:szCs w:val="24"/>
        </w:rPr>
        <w:t>Sama-sama bertujuan menentukan waktu ibadah secara tepat</w:t>
      </w:r>
      <w:r w:rsidR="00770427">
        <w:rPr>
          <w:rStyle w:val="FootnoteReference"/>
          <w:rFonts w:ascii="Times New Roman" w:hAnsi="Times New Roman" w:cs="Times New Roman"/>
          <w:sz w:val="24"/>
          <w:szCs w:val="24"/>
        </w:rPr>
        <w:footnoteReference w:id="11"/>
      </w:r>
    </w:p>
    <w:p w14:paraId="5E20ED55" w14:textId="47B07E26" w:rsidR="00952DB0" w:rsidRPr="00952DB0" w:rsidRDefault="00952DB0" w:rsidP="00381839">
      <w:pPr>
        <w:spacing w:line="360" w:lineRule="auto"/>
        <w:ind w:left="993"/>
        <w:jc w:val="both"/>
        <w:rPr>
          <w:rFonts w:ascii="Times New Roman" w:hAnsi="Times New Roman" w:cs="Times New Roman"/>
          <w:sz w:val="24"/>
          <w:szCs w:val="24"/>
        </w:rPr>
      </w:pPr>
      <w:r w:rsidRPr="00952DB0">
        <w:rPr>
          <w:rFonts w:ascii="Times New Roman" w:hAnsi="Times New Roman" w:cs="Times New Roman"/>
          <w:sz w:val="24"/>
          <w:szCs w:val="24"/>
        </w:rPr>
        <w:t>Pendekatan integratif antara hisab dan rukyat juga dikembangkan oleh ulama kontemporer seperti Yusuf al-Qaradawi dan Wahbah Az-Zuhaili.</w:t>
      </w:r>
      <w:r w:rsidR="00770427">
        <w:rPr>
          <w:rStyle w:val="FootnoteReference"/>
          <w:rFonts w:ascii="Times New Roman" w:hAnsi="Times New Roman" w:cs="Times New Roman"/>
          <w:sz w:val="24"/>
          <w:szCs w:val="24"/>
        </w:rPr>
        <w:footnoteReference w:id="12"/>
      </w:r>
    </w:p>
    <w:p w14:paraId="0830F041" w14:textId="7F566C68" w:rsidR="002D154C" w:rsidRPr="00AB3CD4" w:rsidRDefault="001C3357" w:rsidP="00952DB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DAFTAR PUSTAKA</w:t>
      </w:r>
    </w:p>
    <w:sectPr w:rsidR="002D154C" w:rsidRPr="00AB3C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A28D2" w14:textId="77777777" w:rsidR="00FF365C" w:rsidRDefault="00FF365C" w:rsidP="002D154C">
      <w:pPr>
        <w:spacing w:after="0" w:line="240" w:lineRule="auto"/>
      </w:pPr>
      <w:r>
        <w:separator/>
      </w:r>
    </w:p>
  </w:endnote>
  <w:endnote w:type="continuationSeparator" w:id="0">
    <w:p w14:paraId="4EB71073" w14:textId="77777777" w:rsidR="00FF365C" w:rsidRDefault="00FF365C" w:rsidP="002D1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9B573" w14:textId="77777777" w:rsidR="00FF365C" w:rsidRDefault="00FF365C" w:rsidP="002D154C">
      <w:pPr>
        <w:spacing w:after="0" w:line="240" w:lineRule="auto"/>
      </w:pPr>
      <w:r>
        <w:separator/>
      </w:r>
    </w:p>
  </w:footnote>
  <w:footnote w:type="continuationSeparator" w:id="0">
    <w:p w14:paraId="03B689C0" w14:textId="77777777" w:rsidR="00FF365C" w:rsidRDefault="00FF365C" w:rsidP="002D154C">
      <w:pPr>
        <w:spacing w:after="0" w:line="240" w:lineRule="auto"/>
      </w:pPr>
      <w:r>
        <w:continuationSeparator/>
      </w:r>
    </w:p>
  </w:footnote>
  <w:footnote w:id="1">
    <w:p w14:paraId="294AC5B4" w14:textId="700D2401" w:rsidR="009C564B" w:rsidRDefault="009C564B">
      <w:pPr>
        <w:pStyle w:val="FootnoteText"/>
      </w:pPr>
      <w:r>
        <w:rPr>
          <w:rStyle w:val="FootnoteReference"/>
        </w:rPr>
        <w:footnoteRef/>
      </w:r>
      <w:r>
        <w:t xml:space="preserve"> </w:t>
      </w:r>
      <w:r>
        <w:fldChar w:fldCharType="begin" w:fldLock="1"/>
      </w:r>
      <w:r>
        <w:instrText>ADDIN CSL_CITATION {"citationItems":[{"id":"ITEM-1","itemData":{"author":[{"dropping-particle":"","family":"Muhammadiyah","given":"Majelis Tarjih dan Tajdid","non-dropping-particle":"","parse-names":false,"suffix":""}],"id":"ITEM-1","issued":{"date-parts":[["0"]]},"publisher":"Pimpinan Pusat Muhammadiyah","publisher-place":"Yogyakarta","title":"Himpunan Putusan Tarjih (HPT)","type":"book"},"uris":["http://www.mendeley.com/documents/?uuid=8ce09907-73c5-40f3-b45c-c1eac198b07f"]}],"mendeley":{"formattedCitation":"Majelis Tarjih dan Tajdid Muhammadiyah, &lt;i&gt;Himpunan Putusan Tarjih (HPT)&lt;/i&gt; (Pimpinan Pusat Muhammadiyah).","plainTextFormattedCitation":"Majelis Tarjih dan Tajdid Muhammadiyah, Himpunan Putusan Tarjih (HPT) (Pimpinan Pusat Muhammadiyah).","previouslyFormattedCitation":"Majelis Tarjih dan Tajdid Muhammadiyah, &lt;i&gt;Himpunan Putusan Tarjih (HPT)&lt;/i&gt; (Pimpinan Pusat Muhammadiyah)."},"properties":{"noteIndex":1},"schema":"https://github.com/citation-style-language/schema/raw/master/csl-citation.json"}</w:instrText>
      </w:r>
      <w:r>
        <w:fldChar w:fldCharType="separate"/>
      </w:r>
      <w:r w:rsidRPr="009C564B">
        <w:rPr>
          <w:noProof/>
        </w:rPr>
        <w:t xml:space="preserve">Majelis Tarjih dan Tajdid Muhammadiyah, </w:t>
      </w:r>
      <w:r w:rsidRPr="009C564B">
        <w:rPr>
          <w:i/>
          <w:noProof/>
        </w:rPr>
        <w:t>Himpunan Putusan Tarjih (HPT)</w:t>
      </w:r>
      <w:r w:rsidRPr="009C564B">
        <w:rPr>
          <w:noProof/>
        </w:rPr>
        <w:t xml:space="preserve"> (Pimpinan Pusat Muhammadiyah).</w:t>
      </w:r>
      <w:r>
        <w:fldChar w:fldCharType="end"/>
      </w:r>
    </w:p>
  </w:footnote>
  <w:footnote w:id="2">
    <w:p w14:paraId="792EA044" w14:textId="7841A88F" w:rsidR="009C564B" w:rsidRDefault="009C564B">
      <w:pPr>
        <w:pStyle w:val="FootnoteText"/>
      </w:pPr>
      <w:r>
        <w:rPr>
          <w:rStyle w:val="FootnoteReference"/>
        </w:rPr>
        <w:footnoteRef/>
      </w:r>
      <w:r>
        <w:t xml:space="preserve"> </w:t>
      </w:r>
      <w:r>
        <w:fldChar w:fldCharType="begin" w:fldLock="1"/>
      </w:r>
      <w:r>
        <w:instrText>ADDIN CSL_CITATION {"citationItems":[{"id":"ITEM-1","itemData":{"author":[{"dropping-particle":"","family":"Anwar","given":"Syamsul","non-dropping-particle":"","parse-names":false,"suffix":""}],"id":"ITEM-1","issued":{"date-parts":[["0"]]},"publisher":"Suara Muhammadiyah","publisher-place":"Yogyakarta","title":"Hari Raya dan Problematika Hisab Rukyat","type":"book"},"uris":["http://www.mendeley.com/documents/?uuid=32e8601e-abcd-4e50-a8b2-b91f4ea817e4"]}],"mendeley":{"formattedCitation":"Syamsul Anwar, &lt;i&gt;Hari Raya Dan Problematika Hisab Rukyat&lt;/i&gt; (Suara Muhammadiyah).","plainTextFormattedCitation":"Syamsul Anwar, Hari Raya Dan Problematika Hisab Rukyat (Suara Muhammadiyah).","previouslyFormattedCitation":"Syamsul Anwar, &lt;i&gt;Hari Raya Dan Problematika Hisab Rukyat&lt;/i&gt; (Suara Muhammadiyah)."},"properties":{"noteIndex":2},"schema":"https://github.com/citation-style-language/schema/raw/master/csl-citation.json"}</w:instrText>
      </w:r>
      <w:r>
        <w:fldChar w:fldCharType="separate"/>
      </w:r>
      <w:r w:rsidRPr="009C564B">
        <w:rPr>
          <w:noProof/>
        </w:rPr>
        <w:t xml:space="preserve">Syamsul Anwar, </w:t>
      </w:r>
      <w:r w:rsidRPr="009C564B">
        <w:rPr>
          <w:i/>
          <w:noProof/>
        </w:rPr>
        <w:t>Hari Raya Dan Problematika Hisab Rukyat</w:t>
      </w:r>
      <w:r w:rsidRPr="009C564B">
        <w:rPr>
          <w:noProof/>
        </w:rPr>
        <w:t xml:space="preserve"> (Suara Muhammadiyah).</w:t>
      </w:r>
      <w:r>
        <w:fldChar w:fldCharType="end"/>
      </w:r>
    </w:p>
  </w:footnote>
  <w:footnote w:id="3">
    <w:p w14:paraId="5A47467D" w14:textId="56248167" w:rsidR="009C564B" w:rsidRDefault="009C564B">
      <w:pPr>
        <w:pStyle w:val="FootnoteText"/>
      </w:pPr>
      <w:r>
        <w:rPr>
          <w:rStyle w:val="FootnoteReference"/>
        </w:rPr>
        <w:footnoteRef/>
      </w:r>
      <w:r>
        <w:t xml:space="preserve"> </w:t>
      </w:r>
      <w:r>
        <w:fldChar w:fldCharType="begin" w:fldLock="1"/>
      </w:r>
      <w:r>
        <w:instrText>ADDIN CSL_CITATION {"citationItems":[{"id":"ITEM-1","itemData":{"author":[{"dropping-particle":"","family":"Anwar","given":"Syamsul","non-dropping-particle":"","parse-names":false,"suffix":""}],"id":"ITEM-1","issued":{"date-parts":[["0"]]},"publisher":"Suara Muhammadiyah","publisher-place":"Yogyakarta","title":"Hari Raya dan Problematika Hisab Rukyat","type":"book"},"uris":["http://www.mendeley.com/documents/?uuid=32e8601e-abcd-4e50-a8b2-b91f4ea817e4"]}],"mendeley":{"formattedCitation":"Anwar, &lt;i&gt;Hari Raya Dan Problematika Hisab Rukyat&lt;/i&gt;.","plainTextFormattedCitation":"Anwar, Hari Raya Dan Problematika Hisab Rukyat.","previouslyFormattedCitation":"Anwar, &lt;i&gt;Hari Raya Dan Problematika Hisab Rukyat&lt;/i&gt;."},"properties":{"noteIndex":3},"schema":"https://github.com/citation-style-language/schema/raw/master/csl-citation.json"}</w:instrText>
      </w:r>
      <w:r>
        <w:fldChar w:fldCharType="separate"/>
      </w:r>
      <w:r w:rsidRPr="009C564B">
        <w:rPr>
          <w:noProof/>
        </w:rPr>
        <w:t xml:space="preserve">Anwar, </w:t>
      </w:r>
      <w:r w:rsidRPr="009C564B">
        <w:rPr>
          <w:i/>
          <w:noProof/>
        </w:rPr>
        <w:t>Hari Raya Dan Problematika Hisab Rukyat</w:t>
      </w:r>
      <w:r w:rsidRPr="009C564B">
        <w:rPr>
          <w:noProof/>
        </w:rPr>
        <w:t>.</w:t>
      </w:r>
      <w:r>
        <w:fldChar w:fldCharType="end"/>
      </w:r>
    </w:p>
  </w:footnote>
  <w:footnote w:id="4">
    <w:p w14:paraId="3F045466" w14:textId="7D933DCA" w:rsidR="009C564B" w:rsidRDefault="009C564B">
      <w:pPr>
        <w:pStyle w:val="FootnoteText"/>
      </w:pPr>
      <w:r>
        <w:rPr>
          <w:rStyle w:val="FootnoteReference"/>
        </w:rPr>
        <w:footnoteRef/>
      </w:r>
      <w:r>
        <w:t xml:space="preserve"> </w:t>
      </w:r>
      <w:r>
        <w:fldChar w:fldCharType="begin" w:fldLock="1"/>
      </w:r>
      <w:r>
        <w:instrText>ADDIN CSL_CITATION {"citationItems":[{"id":"ITEM-1","itemData":{"author":[{"dropping-particle":"","family":"Muhammadiyah","given":"Majelis Tarjih dan Tajdid","non-dropping-particle":"","parse-names":false,"suffix":""}],"id":"ITEM-1","issued":{"date-parts":[["0"]]},"publisher":"Pimpinan Pusat Muhammadiyah","publisher-place":"Yogyakarta","title":"Himpunan Putusan Tarjih (HPT)","type":"book"},"uris":["http://www.mendeley.com/documents/?uuid=fa34f786-c758-4960-b5e7-7ce9279dc76d"]}],"mendeley":{"formattedCitation":"Muhammadiyah, &lt;i&gt;Himpunan Putusan Tarjih (HPT)&lt;/i&gt;.","plainTextFormattedCitation":"Muhammadiyah, Himpunan Putusan Tarjih (HPT).","previouslyFormattedCitation":"Muhammadiyah, &lt;i&gt;Himpunan Putusan Tarjih (HPT)&lt;/i&gt;."},"properties":{"noteIndex":4},"schema":"https://github.com/citation-style-language/schema/raw/master/csl-citation.json"}</w:instrText>
      </w:r>
      <w:r>
        <w:fldChar w:fldCharType="separate"/>
      </w:r>
      <w:r w:rsidRPr="009C564B">
        <w:rPr>
          <w:noProof/>
        </w:rPr>
        <w:t xml:space="preserve">Muhammadiyah, </w:t>
      </w:r>
      <w:r w:rsidRPr="009C564B">
        <w:rPr>
          <w:i/>
          <w:noProof/>
        </w:rPr>
        <w:t>Himpunan Putusan Tarjih (HPT)</w:t>
      </w:r>
      <w:r w:rsidRPr="009C564B">
        <w:rPr>
          <w:noProof/>
        </w:rPr>
        <w:t>.</w:t>
      </w:r>
      <w:r>
        <w:fldChar w:fldCharType="end"/>
      </w:r>
    </w:p>
  </w:footnote>
  <w:footnote w:id="5">
    <w:p w14:paraId="269C145A" w14:textId="40023F31" w:rsidR="009C564B" w:rsidRDefault="009C564B">
      <w:pPr>
        <w:pStyle w:val="FootnoteText"/>
      </w:pPr>
      <w:r>
        <w:rPr>
          <w:rStyle w:val="FootnoteReference"/>
        </w:rPr>
        <w:footnoteRef/>
      </w:r>
      <w:r>
        <w:t xml:space="preserve"> </w:t>
      </w:r>
      <w:r>
        <w:fldChar w:fldCharType="begin" w:fldLock="1"/>
      </w:r>
      <w:r w:rsidR="00770427">
        <w:instrText>ADDIN CSL_CITATION {"citationItems":[{"id":"ITEM-1","itemData":{"author":[{"dropping-particle":"","family":"Muhammadiyah","given":"Majelis Tarjih dan Tajdid","non-dropping-particle":"","parse-names":false,"suffix":""}],"id":"ITEM-1","issued":{"date-parts":[["0"]]},"publisher":"Pimpinan Pusat Muhammadiyah","publisher-place":"Yogyakarta","title":"Pedoman Hisab Muhammadiyah","type":"book"},"uris":["http://www.mendeley.com/documents/?uuid=8f1d7045-8004-4932-aed6-95bbaf104704"]}],"mendeley":{"formattedCitation":"Majelis Tarjih dan Tajdid Muhammadiyah, &lt;i&gt;Pedoman Hisab Muhammadiyah&lt;/i&gt; (Pimpinan Pusat Muhammadiyah).","plainTextFormattedCitation":"Majelis Tarjih dan Tajdid Muhammadiyah, Pedoman Hisab Muhammadiyah (Pimpinan Pusat Muhammadiyah).","previouslyFormattedCitation":"Majelis Tarjih dan Tajdid Muhammadiyah, &lt;i&gt;Pedoman Hisab Muhammadiyah&lt;/i&gt; (Pimpinan Pusat Muhammadiyah)."},"properties":{"noteIndex":5},"schema":"https://github.com/citation-style-language/schema/raw/master/csl-citation.json"}</w:instrText>
      </w:r>
      <w:r>
        <w:fldChar w:fldCharType="separate"/>
      </w:r>
      <w:r w:rsidRPr="009C564B">
        <w:rPr>
          <w:noProof/>
        </w:rPr>
        <w:t xml:space="preserve">Majelis Tarjih dan Tajdid Muhammadiyah, </w:t>
      </w:r>
      <w:r w:rsidRPr="009C564B">
        <w:rPr>
          <w:i/>
          <w:noProof/>
        </w:rPr>
        <w:t>Pedoman Hisab Muhammadiyah</w:t>
      </w:r>
      <w:r w:rsidRPr="009C564B">
        <w:rPr>
          <w:noProof/>
        </w:rPr>
        <w:t xml:space="preserve"> (Pimpinan Pusat Muhammadiyah).</w:t>
      </w:r>
      <w:r>
        <w:fldChar w:fldCharType="end"/>
      </w:r>
    </w:p>
  </w:footnote>
  <w:footnote w:id="6">
    <w:p w14:paraId="42F7411C" w14:textId="3AC3C907" w:rsidR="00770427" w:rsidRDefault="00770427">
      <w:pPr>
        <w:pStyle w:val="FootnoteText"/>
      </w:pPr>
      <w:r>
        <w:rPr>
          <w:rStyle w:val="FootnoteReference"/>
        </w:rPr>
        <w:footnoteRef/>
      </w:r>
      <w:r>
        <w:t xml:space="preserve"> </w:t>
      </w:r>
      <w:r>
        <w:fldChar w:fldCharType="begin" w:fldLock="1"/>
      </w:r>
      <w:r>
        <w:instrText>ADDIN CSL_CITATION {"citationItems":[{"id":"ITEM-1","itemData":{"author":[{"dropping-particle":"","family":"Saksono","given":"Tono","non-dropping-particle":"","parse-names":false,"suffix":""}],"id":"ITEM-1","issued":{"date-parts":[["0"]]},"publisher":"Amythas Publicita","publisher-place":"Jakarta","title":"Mengkompromikan Rukyat dan Hisab","type":"book"},"uris":["http://www.mendeley.com/documents/?uuid=a8769542-12ac-4bfe-a3a6-f2ddc0b79a67"]}],"mendeley":{"formattedCitation":"Tono Saksono, &lt;i&gt;Mengkompromikan Rukyat Dan Hisab&lt;/i&gt; (Amythas Publicita).","plainTextFormattedCitation":"Tono Saksono, Mengkompromikan Rukyat Dan Hisab (Amythas Publicita).","previouslyFormattedCitation":"Tono Saksono, &lt;i&gt;Mengkompromikan Rukyat Dan Hisab&lt;/i&gt; (Amythas Publicita)."},"properties":{"noteIndex":6},"schema":"https://github.com/citation-style-language/schema/raw/master/csl-citation.json"}</w:instrText>
      </w:r>
      <w:r>
        <w:fldChar w:fldCharType="separate"/>
      </w:r>
      <w:r w:rsidRPr="00770427">
        <w:rPr>
          <w:noProof/>
        </w:rPr>
        <w:t xml:space="preserve">Tono Saksono, </w:t>
      </w:r>
      <w:r w:rsidRPr="00770427">
        <w:rPr>
          <w:i/>
          <w:noProof/>
        </w:rPr>
        <w:t>Mengkompromikan Rukyat Dan Hisab</w:t>
      </w:r>
      <w:r w:rsidRPr="00770427">
        <w:rPr>
          <w:noProof/>
        </w:rPr>
        <w:t xml:space="preserve"> (Amythas Publicita).</w:t>
      </w:r>
      <w:r>
        <w:fldChar w:fldCharType="end"/>
      </w:r>
    </w:p>
  </w:footnote>
  <w:footnote w:id="7">
    <w:p w14:paraId="46870EF0" w14:textId="10B6B40B" w:rsidR="00770427" w:rsidRDefault="00770427">
      <w:pPr>
        <w:pStyle w:val="FootnoteText"/>
      </w:pPr>
      <w:r>
        <w:rPr>
          <w:rStyle w:val="FootnoteReference"/>
        </w:rPr>
        <w:footnoteRef/>
      </w:r>
      <w:r>
        <w:t xml:space="preserve"> </w:t>
      </w:r>
      <w:r>
        <w:fldChar w:fldCharType="begin" w:fldLock="1"/>
      </w:r>
      <w:r>
        <w:instrText>ADDIN CSL_CITATION {"citationItems":[{"id":"ITEM-1","itemData":{"author":[{"dropping-particle":"","family":"Izzuddin","given":"Ahmad","non-dropping-particle":"","parse-names":false,"suffix":""}],"id":"ITEM-1","issued":{"date-parts":[["0"]]},"publisher":"Erlangga","publisher-place":"Jakarta","title":"Fiqh Hisab Rukyat di Indonesia","type":"book"},"uris":["http://www.mendeley.com/documents/?uuid=f1d6ad4d-6b2d-4ba1-810c-998f37d67b65"]}],"mendeley":{"formattedCitation":"Ahmad Izzuddin, &lt;i&gt;Fiqh Hisab Rukyat Di Indonesia&lt;/i&gt; (Erlangga).","plainTextFormattedCitation":"Ahmad Izzuddin, Fiqh Hisab Rukyat Di Indonesia (Erlangga).","previouslyFormattedCitation":"Ahmad Izzuddin, &lt;i&gt;Fiqh Hisab Rukyat Di Indonesia&lt;/i&gt; (Erlangga)."},"properties":{"noteIndex":7},"schema":"https://github.com/citation-style-language/schema/raw/master/csl-citation.json"}</w:instrText>
      </w:r>
      <w:r>
        <w:fldChar w:fldCharType="separate"/>
      </w:r>
      <w:r w:rsidRPr="00770427">
        <w:rPr>
          <w:noProof/>
        </w:rPr>
        <w:t xml:space="preserve">Ahmad Izzuddin, </w:t>
      </w:r>
      <w:r w:rsidRPr="00770427">
        <w:rPr>
          <w:i/>
          <w:noProof/>
        </w:rPr>
        <w:t>Fiqh Hisab Rukyat Di Indonesia</w:t>
      </w:r>
      <w:r w:rsidRPr="00770427">
        <w:rPr>
          <w:noProof/>
        </w:rPr>
        <w:t xml:space="preserve"> (Erlangga).</w:t>
      </w:r>
      <w:r>
        <w:fldChar w:fldCharType="end"/>
      </w:r>
    </w:p>
  </w:footnote>
  <w:footnote w:id="8">
    <w:p w14:paraId="29570C3C" w14:textId="0049F0AD" w:rsidR="00770427" w:rsidRDefault="00770427">
      <w:pPr>
        <w:pStyle w:val="FootnoteText"/>
      </w:pPr>
      <w:r>
        <w:rPr>
          <w:rStyle w:val="FootnoteReference"/>
        </w:rPr>
        <w:footnoteRef/>
      </w:r>
      <w:r>
        <w:t xml:space="preserve"> </w:t>
      </w:r>
      <w:r>
        <w:fldChar w:fldCharType="begin" w:fldLock="1"/>
      </w:r>
      <w:r>
        <w:instrText>ADDIN CSL_CITATION {"citationItems":[{"id":"ITEM-1","itemData":{"author":[{"dropping-particle":"","family":"Ulama","given":"Nahdlatul","non-dropping-particle":"","parse-names":false,"suffix":""}],"id":"ITEM-1","issued":{"date-parts":[["0"]]},"publisher":"PBNU","publisher-place":"Jakarta","title":"Hasil-Hasil Bahtsul Masail","type":"book"},"uris":["http://www.mendeley.com/documents/?uuid=07f0aae9-dff0-4919-9259-b8092ac51184"]}],"mendeley":{"formattedCitation":"Nahdlatul Ulama, &lt;i&gt;Hasil-Hasil Bahtsul Masail&lt;/i&gt; (PBNU).","plainTextFormattedCitation":"Nahdlatul Ulama, Hasil-Hasil Bahtsul Masail (PBNU).","previouslyFormattedCitation":"Nahdlatul Ulama, &lt;i&gt;Hasil-Hasil Bahtsul Masail&lt;/i&gt; (PBNU)."},"properties":{"noteIndex":8},"schema":"https://github.com/citation-style-language/schema/raw/master/csl-citation.json"}</w:instrText>
      </w:r>
      <w:r>
        <w:fldChar w:fldCharType="separate"/>
      </w:r>
      <w:r w:rsidRPr="00770427">
        <w:rPr>
          <w:noProof/>
        </w:rPr>
        <w:t xml:space="preserve">Nahdlatul Ulama, </w:t>
      </w:r>
      <w:r w:rsidRPr="00770427">
        <w:rPr>
          <w:i/>
          <w:noProof/>
        </w:rPr>
        <w:t>Hasil-Hasil Bahtsul Masail</w:t>
      </w:r>
      <w:r w:rsidRPr="00770427">
        <w:rPr>
          <w:noProof/>
        </w:rPr>
        <w:t xml:space="preserve"> (PBNU).</w:t>
      </w:r>
      <w:r>
        <w:fldChar w:fldCharType="end"/>
      </w:r>
    </w:p>
  </w:footnote>
  <w:footnote w:id="9">
    <w:p w14:paraId="693D8DF4" w14:textId="127DDF83" w:rsidR="00770427" w:rsidRDefault="00770427">
      <w:pPr>
        <w:pStyle w:val="FootnoteText"/>
      </w:pPr>
      <w:r>
        <w:rPr>
          <w:rStyle w:val="FootnoteReference"/>
        </w:rPr>
        <w:footnoteRef/>
      </w:r>
      <w:r>
        <w:t xml:space="preserve"> </w:t>
      </w:r>
      <w:r>
        <w:fldChar w:fldCharType="begin" w:fldLock="1"/>
      </w:r>
      <w:r>
        <w:instrText>ADDIN CSL_CITATION {"citationItems":[{"id":"ITEM-1","itemData":{"author":[{"dropping-particle":"","family":"Anwar","given":"Syamsul","non-dropping-particle":"","parse-names":false,"suffix":""}],"id":"ITEM-1","issued":{"date-parts":[["0"]]},"publisher":"Suara Muhammadiyah","publisher-place":"Yogyakarta","title":"Hari Raya dan Problematika Hisab Rukyat","type":"book"},"uris":["http://www.mendeley.com/documents/?uuid=09e8efdc-131b-4c4e-8fc2-37cdedd8e233"]}],"mendeley":{"formattedCitation":"Anwar, &lt;i&gt;Hari Raya Dan Problematika Hisab Rukyat&lt;/i&gt;.","plainTextFormattedCitation":"Anwar, Hari Raya Dan Problematika Hisab Rukyat.","previouslyFormattedCitation":"Anwar, &lt;i&gt;Hari Raya Dan Problematika Hisab Rukyat&lt;/i&gt;."},"properties":{"noteIndex":9},"schema":"https://github.com/citation-style-language/schema/raw/master/csl-citation.json"}</w:instrText>
      </w:r>
      <w:r>
        <w:fldChar w:fldCharType="separate"/>
      </w:r>
      <w:r w:rsidRPr="00770427">
        <w:rPr>
          <w:noProof/>
        </w:rPr>
        <w:t xml:space="preserve">Anwar, </w:t>
      </w:r>
      <w:r w:rsidRPr="00770427">
        <w:rPr>
          <w:i/>
          <w:noProof/>
        </w:rPr>
        <w:t>Hari Raya Dan Problematika Hisab Rukyat</w:t>
      </w:r>
      <w:r w:rsidRPr="00770427">
        <w:rPr>
          <w:noProof/>
        </w:rPr>
        <w:t>.</w:t>
      </w:r>
      <w:r>
        <w:fldChar w:fldCharType="end"/>
      </w:r>
    </w:p>
  </w:footnote>
  <w:footnote w:id="10">
    <w:p w14:paraId="3228F07B" w14:textId="25ED01EF" w:rsidR="00770427" w:rsidRDefault="00770427">
      <w:pPr>
        <w:pStyle w:val="FootnoteText"/>
      </w:pPr>
      <w:r>
        <w:rPr>
          <w:rStyle w:val="FootnoteReference"/>
        </w:rPr>
        <w:footnoteRef/>
      </w:r>
      <w:r>
        <w:t xml:space="preserve"> </w:t>
      </w:r>
      <w:r>
        <w:fldChar w:fldCharType="begin" w:fldLock="1"/>
      </w:r>
      <w:r>
        <w:instrText>ADDIN CSL_CITATION {"citationItems":[{"id":"ITEM-1","itemData":{"author":[{"dropping-particle":"","family":"Indonesia","given":"Kementerian Agama Republik","non-dropping-particle":"","parse-names":false,"suffix":""}],"id":"ITEM-1","issued":{"date-parts":[["0"]]},"publisher":"Kementerian Agama RI","publisher-place":"Jakarta","title":"Hisab Rukyat dan Penetapan Awal Bulan Hijriyah di Indonesia","type":"book"},"uris":["http://www.mendeley.com/documents/?uuid=f1876143-15c0-4918-8d9e-e949d11f62e6"]}],"mendeley":{"formattedCitation":"Kementerian Agama Republik Indonesia, &lt;i&gt;Hisab Rukyat Dan Penetapan Awal Bulan Hijriyah Di Indonesia&lt;/i&gt; (Kementerian Agama RI).","plainTextFormattedCitation":"Kementerian Agama Republik Indonesia, Hisab Rukyat Dan Penetapan Awal Bulan Hijriyah Di Indonesia (Kementerian Agama RI).","previouslyFormattedCitation":"Kementerian Agama Republik Indonesia, &lt;i&gt;Hisab Rukyat Dan Penetapan Awal Bulan Hijriyah Di Indonesia&lt;/i&gt; (Kementerian Agama RI)."},"properties":{"noteIndex":10},"schema":"https://github.com/citation-style-language/schema/raw/master/csl-citation.json"}</w:instrText>
      </w:r>
      <w:r>
        <w:fldChar w:fldCharType="separate"/>
      </w:r>
      <w:r w:rsidRPr="00770427">
        <w:rPr>
          <w:noProof/>
        </w:rPr>
        <w:t xml:space="preserve">Kementerian Agama Republik Indonesia, </w:t>
      </w:r>
      <w:r w:rsidRPr="00770427">
        <w:rPr>
          <w:i/>
          <w:noProof/>
        </w:rPr>
        <w:t>Hisab Rukyat Dan Penetapan Awal Bulan Hijriyah Di Indonesia</w:t>
      </w:r>
      <w:r w:rsidRPr="00770427">
        <w:rPr>
          <w:noProof/>
        </w:rPr>
        <w:t xml:space="preserve"> (Kementerian Agama RI).</w:t>
      </w:r>
      <w:r>
        <w:fldChar w:fldCharType="end"/>
      </w:r>
    </w:p>
  </w:footnote>
  <w:footnote w:id="11">
    <w:p w14:paraId="755223D4" w14:textId="7B182AAC" w:rsidR="00770427" w:rsidRDefault="00770427">
      <w:pPr>
        <w:pStyle w:val="FootnoteText"/>
      </w:pPr>
      <w:r>
        <w:rPr>
          <w:rStyle w:val="FootnoteReference"/>
        </w:rPr>
        <w:footnoteRef/>
      </w:r>
      <w:r>
        <w:t xml:space="preserve"> </w:t>
      </w:r>
      <w:r>
        <w:fldChar w:fldCharType="begin" w:fldLock="1"/>
      </w:r>
      <w:r>
        <w:instrText>ADDIN CSL_CITATION {"citationItems":[{"id":"ITEM-1","itemData":{"author":[{"dropping-particle":"","family":"Muhammadiyah","given":"Majelis Tarjih dan Tajdid","non-dropping-particle":"","parse-names":false,"suffix":""}],"id":"ITEM-1","issued":{"date-parts":[["0"]]},"publisher":"Pimpinan Pusat Muhammadiyah","publisher-place":"Yogyakarta","title":"Pedoman Hisab Muhammadiyah","type":"book"},"uris":["http://www.mendeley.com/documents/?uuid=cb998913-17e4-4b47-8a7f-ab2751f8f15e"]}],"mendeley":{"formattedCitation":"Muhammadiyah, &lt;i&gt;Pedoman Hisab Muhammadiyah&lt;/i&gt;.","plainTextFormattedCitation":"Muhammadiyah, Pedoman Hisab Muhammadiyah."},"properties":{"noteIndex":11},"schema":"https://github.com/citation-style-language/schema/raw/master/csl-citation.json"}</w:instrText>
      </w:r>
      <w:r>
        <w:fldChar w:fldCharType="separate"/>
      </w:r>
      <w:r w:rsidRPr="00770427">
        <w:rPr>
          <w:noProof/>
        </w:rPr>
        <w:t xml:space="preserve">Muhammadiyah, </w:t>
      </w:r>
      <w:r w:rsidRPr="00770427">
        <w:rPr>
          <w:i/>
          <w:noProof/>
        </w:rPr>
        <w:t>Pedoman Hisab Muhammadiyah</w:t>
      </w:r>
      <w:r w:rsidRPr="00770427">
        <w:rPr>
          <w:noProof/>
        </w:rPr>
        <w:t>.</w:t>
      </w:r>
      <w:r>
        <w:fldChar w:fldCharType="end"/>
      </w:r>
    </w:p>
  </w:footnote>
  <w:footnote w:id="12">
    <w:p w14:paraId="58E44222" w14:textId="210C4F3C" w:rsidR="00770427" w:rsidRDefault="00770427">
      <w:pPr>
        <w:pStyle w:val="FootnoteText"/>
      </w:pPr>
      <w:r>
        <w:rPr>
          <w:rStyle w:val="FootnoteReference"/>
        </w:rPr>
        <w:footnoteRef/>
      </w:r>
      <w:r>
        <w:t xml:space="preserve"> </w:t>
      </w:r>
      <w:r>
        <w:fldChar w:fldCharType="begin" w:fldLock="1"/>
      </w:r>
      <w:r>
        <w:instrText>ADDIN CSL_CITATION {"citationItems":[{"id":"ITEM-1","itemData":{"author":[{"dropping-particle":"","family":"Azhari","given":"Susiknan","non-dropping-particle":"","parse-names":false,"suffix":""}],"id":"ITEM-1","issued":{"date-parts":[["0"]]},"publisher":"Pustaka Pelajar","publisher-place":"Yogyakarta","title":"Hisab Rukyat: Wacana untuk Membangun Kebersamaan di Tengah Perbedaan","type":"book"},"uris":["http://www.mendeley.com/documents/?uuid=afb2048d-14c7-4f1b-8a18-3a8f4558eedd"]}],"mendeley":{"formattedCitation":"Susiknan Azhari, &lt;i&gt;Hisab Rukyat: Wacana Untuk Membangun Kebersamaan Di Tengah Perbedaan&lt;/i&gt; (Pustaka Pelajar).","plainTextFormattedCitation":"Susiknan Azhari, Hisab Rukyat: Wacana Untuk Membangun Kebersamaan Di Tengah Perbedaan (Pustaka Pelajar).","previouslyFormattedCitation":"Susiknan Azhari, &lt;i&gt;Hisab Rukyat: Wacana Untuk Membangun Kebersamaan Di Tengah Perbedaan&lt;/i&gt; (Pustaka Pelajar)."},"properties":{"noteIndex":12},"schema":"https://github.com/citation-style-language/schema/raw/master/csl-citation.json"}</w:instrText>
      </w:r>
      <w:r>
        <w:fldChar w:fldCharType="separate"/>
      </w:r>
      <w:r w:rsidRPr="00770427">
        <w:rPr>
          <w:noProof/>
        </w:rPr>
        <w:t xml:space="preserve">Susiknan Azhari, </w:t>
      </w:r>
      <w:r w:rsidRPr="00770427">
        <w:rPr>
          <w:i/>
          <w:noProof/>
        </w:rPr>
        <w:t>Hisab Rukyat: Wacana Untuk Membangun Kebersamaan Di Tengah Perbedaan</w:t>
      </w:r>
      <w:r w:rsidRPr="00770427">
        <w:rPr>
          <w:noProof/>
        </w:rPr>
        <w:t xml:space="preserve"> (Pustaka Pelajar).</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DF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85419D"/>
    <w:multiLevelType w:val="hybridMultilevel"/>
    <w:tmpl w:val="5A90BF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F57166"/>
    <w:multiLevelType w:val="hybridMultilevel"/>
    <w:tmpl w:val="36582D00"/>
    <w:lvl w:ilvl="0" w:tplc="FEC46856">
      <w:start w:val="1"/>
      <w:numFmt w:val="decimal"/>
      <w:lvlText w:val="%1."/>
      <w:lvlJc w:val="left"/>
      <w:pPr>
        <w:ind w:left="1027" w:hanging="360"/>
      </w:pPr>
      <w:rPr>
        <w:rFonts w:hint="default"/>
      </w:r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3" w15:restartNumberingAfterBreak="0">
    <w:nsid w:val="055A7E7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FA5158"/>
    <w:multiLevelType w:val="hybridMultilevel"/>
    <w:tmpl w:val="2EEC89E4"/>
    <w:lvl w:ilvl="0" w:tplc="C0980500">
      <w:start w:val="1"/>
      <w:numFmt w:val="decimal"/>
      <w:lvlText w:val="%1."/>
      <w:lvlJc w:val="left"/>
      <w:pPr>
        <w:ind w:left="1027" w:hanging="360"/>
      </w:pPr>
      <w:rPr>
        <w:rFonts w:hint="default"/>
      </w:r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5" w15:restartNumberingAfterBreak="0">
    <w:nsid w:val="152978D5"/>
    <w:multiLevelType w:val="hybridMultilevel"/>
    <w:tmpl w:val="72CA31A6"/>
    <w:lvl w:ilvl="0" w:tplc="D0AE497C">
      <w:start w:val="1"/>
      <w:numFmt w:val="decimal"/>
      <w:lvlText w:val="%1."/>
      <w:lvlJc w:val="left"/>
      <w:pPr>
        <w:ind w:left="1027" w:hanging="360"/>
      </w:pPr>
      <w:rPr>
        <w:rFonts w:hint="default"/>
        <w:b w:val="0"/>
      </w:r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6" w15:restartNumberingAfterBreak="0">
    <w:nsid w:val="33614F37"/>
    <w:multiLevelType w:val="hybridMultilevel"/>
    <w:tmpl w:val="111E2B6E"/>
    <w:lvl w:ilvl="0" w:tplc="E842E8A2">
      <w:start w:val="1"/>
      <w:numFmt w:val="decimal"/>
      <w:lvlText w:val="%1."/>
      <w:lvlJc w:val="left"/>
      <w:pPr>
        <w:ind w:left="1027" w:hanging="360"/>
      </w:pPr>
      <w:rPr>
        <w:rFonts w:hint="default"/>
        <w:b w:val="0"/>
      </w:r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7" w15:restartNumberingAfterBreak="0">
    <w:nsid w:val="3A4764E1"/>
    <w:multiLevelType w:val="hybridMultilevel"/>
    <w:tmpl w:val="92A43AD4"/>
    <w:lvl w:ilvl="0" w:tplc="1402FC9C">
      <w:start w:val="1"/>
      <w:numFmt w:val="decimal"/>
      <w:lvlText w:val="%1."/>
      <w:lvlJc w:val="left"/>
      <w:pPr>
        <w:ind w:left="1027" w:hanging="360"/>
      </w:pPr>
      <w:rPr>
        <w:rFonts w:hint="default"/>
      </w:r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8" w15:restartNumberingAfterBreak="0">
    <w:nsid w:val="48953900"/>
    <w:multiLevelType w:val="hybridMultilevel"/>
    <w:tmpl w:val="C8167A5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 w15:restartNumberingAfterBreak="0">
    <w:nsid w:val="5CB72434"/>
    <w:multiLevelType w:val="hybridMultilevel"/>
    <w:tmpl w:val="25F23E8E"/>
    <w:lvl w:ilvl="0" w:tplc="B82C26DC">
      <w:start w:val="1"/>
      <w:numFmt w:val="decimal"/>
      <w:lvlText w:val="%1."/>
      <w:lvlJc w:val="left"/>
      <w:pPr>
        <w:ind w:left="1027" w:hanging="360"/>
      </w:pPr>
      <w:rPr>
        <w:rFonts w:hint="default"/>
      </w:r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10" w15:restartNumberingAfterBreak="0">
    <w:nsid w:val="6817769E"/>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05D6D54"/>
    <w:multiLevelType w:val="hybridMultilevel"/>
    <w:tmpl w:val="204A28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898237B"/>
    <w:multiLevelType w:val="hybridMultilevel"/>
    <w:tmpl w:val="6518DD4C"/>
    <w:lvl w:ilvl="0" w:tplc="8240317A">
      <w:start w:val="1"/>
      <w:numFmt w:val="decimal"/>
      <w:lvlText w:val="%1."/>
      <w:lvlJc w:val="left"/>
      <w:pPr>
        <w:ind w:left="1027" w:hanging="360"/>
      </w:pPr>
      <w:rPr>
        <w:rFonts w:hint="default"/>
      </w:r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13" w15:restartNumberingAfterBreak="0">
    <w:nsid w:val="7C924885"/>
    <w:multiLevelType w:val="hybridMultilevel"/>
    <w:tmpl w:val="978443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69990795">
    <w:abstractNumId w:val="4"/>
  </w:num>
  <w:num w:numId="2" w16cid:durableId="1791824852">
    <w:abstractNumId w:val="5"/>
  </w:num>
  <w:num w:numId="3" w16cid:durableId="484132659">
    <w:abstractNumId w:val="6"/>
  </w:num>
  <w:num w:numId="4" w16cid:durableId="674963730">
    <w:abstractNumId w:val="7"/>
  </w:num>
  <w:num w:numId="5" w16cid:durableId="525872442">
    <w:abstractNumId w:val="12"/>
  </w:num>
  <w:num w:numId="6" w16cid:durableId="209273182">
    <w:abstractNumId w:val="9"/>
  </w:num>
  <w:num w:numId="7" w16cid:durableId="823619408">
    <w:abstractNumId w:val="2"/>
  </w:num>
  <w:num w:numId="8" w16cid:durableId="424346880">
    <w:abstractNumId w:val="11"/>
  </w:num>
  <w:num w:numId="9" w16cid:durableId="1426030148">
    <w:abstractNumId w:val="8"/>
  </w:num>
  <w:num w:numId="10" w16cid:durableId="1363901816">
    <w:abstractNumId w:val="1"/>
  </w:num>
  <w:num w:numId="11" w16cid:durableId="1811746584">
    <w:abstractNumId w:val="13"/>
  </w:num>
  <w:num w:numId="12" w16cid:durableId="94525098">
    <w:abstractNumId w:val="3"/>
  </w:num>
  <w:num w:numId="13" w16cid:durableId="1155490405">
    <w:abstractNumId w:val="0"/>
  </w:num>
  <w:num w:numId="14" w16cid:durableId="1534610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2F9"/>
    <w:rsid w:val="0006735D"/>
    <w:rsid w:val="0009236F"/>
    <w:rsid w:val="001C3357"/>
    <w:rsid w:val="002703EE"/>
    <w:rsid w:val="002D154C"/>
    <w:rsid w:val="002D34B2"/>
    <w:rsid w:val="002E7839"/>
    <w:rsid w:val="00344209"/>
    <w:rsid w:val="00381839"/>
    <w:rsid w:val="004A60A1"/>
    <w:rsid w:val="00516059"/>
    <w:rsid w:val="00681A95"/>
    <w:rsid w:val="00746DAB"/>
    <w:rsid w:val="00770427"/>
    <w:rsid w:val="007A6107"/>
    <w:rsid w:val="00944357"/>
    <w:rsid w:val="00952DB0"/>
    <w:rsid w:val="009B4B8B"/>
    <w:rsid w:val="009C564B"/>
    <w:rsid w:val="00A447E9"/>
    <w:rsid w:val="00A65B19"/>
    <w:rsid w:val="00AB3CD4"/>
    <w:rsid w:val="00B5395F"/>
    <w:rsid w:val="00C17C8D"/>
    <w:rsid w:val="00D27CBF"/>
    <w:rsid w:val="00DD7C5F"/>
    <w:rsid w:val="00E22CE8"/>
    <w:rsid w:val="00E832F9"/>
    <w:rsid w:val="00F20A62"/>
    <w:rsid w:val="00F57866"/>
    <w:rsid w:val="00F67B92"/>
    <w:rsid w:val="00FF36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C7DBB"/>
  <w15:chartTrackingRefBased/>
  <w15:docId w15:val="{52ADDA71-C161-482B-B8E4-AA63E8C14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3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2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2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2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2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32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2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2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2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2F9"/>
    <w:rPr>
      <w:rFonts w:eastAsiaTheme="majorEastAsia" w:cstheme="majorBidi"/>
      <w:color w:val="272727" w:themeColor="text1" w:themeTint="D8"/>
    </w:rPr>
  </w:style>
  <w:style w:type="paragraph" w:styleId="Title">
    <w:name w:val="Title"/>
    <w:basedOn w:val="Normal"/>
    <w:next w:val="Normal"/>
    <w:link w:val="TitleChar"/>
    <w:uiPriority w:val="10"/>
    <w:qFormat/>
    <w:rsid w:val="00E83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2F9"/>
    <w:pPr>
      <w:spacing w:before="160"/>
      <w:jc w:val="center"/>
    </w:pPr>
    <w:rPr>
      <w:i/>
      <w:iCs/>
      <w:color w:val="404040" w:themeColor="text1" w:themeTint="BF"/>
    </w:rPr>
  </w:style>
  <w:style w:type="character" w:customStyle="1" w:styleId="QuoteChar">
    <w:name w:val="Quote Char"/>
    <w:basedOn w:val="DefaultParagraphFont"/>
    <w:link w:val="Quote"/>
    <w:uiPriority w:val="29"/>
    <w:rsid w:val="00E832F9"/>
    <w:rPr>
      <w:i/>
      <w:iCs/>
      <w:color w:val="404040" w:themeColor="text1" w:themeTint="BF"/>
    </w:rPr>
  </w:style>
  <w:style w:type="paragraph" w:styleId="ListParagraph">
    <w:name w:val="List Paragraph"/>
    <w:basedOn w:val="Normal"/>
    <w:uiPriority w:val="34"/>
    <w:qFormat/>
    <w:rsid w:val="00E832F9"/>
    <w:pPr>
      <w:ind w:left="720"/>
      <w:contextualSpacing/>
    </w:pPr>
  </w:style>
  <w:style w:type="character" w:styleId="IntenseEmphasis">
    <w:name w:val="Intense Emphasis"/>
    <w:basedOn w:val="DefaultParagraphFont"/>
    <w:uiPriority w:val="21"/>
    <w:qFormat/>
    <w:rsid w:val="00E832F9"/>
    <w:rPr>
      <w:i/>
      <w:iCs/>
      <w:color w:val="2F5496" w:themeColor="accent1" w:themeShade="BF"/>
    </w:rPr>
  </w:style>
  <w:style w:type="paragraph" w:styleId="IntenseQuote">
    <w:name w:val="Intense Quote"/>
    <w:basedOn w:val="Normal"/>
    <w:next w:val="Normal"/>
    <w:link w:val="IntenseQuoteChar"/>
    <w:uiPriority w:val="30"/>
    <w:qFormat/>
    <w:rsid w:val="00E83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2F9"/>
    <w:rPr>
      <w:i/>
      <w:iCs/>
      <w:color w:val="2F5496" w:themeColor="accent1" w:themeShade="BF"/>
    </w:rPr>
  </w:style>
  <w:style w:type="character" w:styleId="IntenseReference">
    <w:name w:val="Intense Reference"/>
    <w:basedOn w:val="DefaultParagraphFont"/>
    <w:uiPriority w:val="32"/>
    <w:qFormat/>
    <w:rsid w:val="00E832F9"/>
    <w:rPr>
      <w:b/>
      <w:bCs/>
      <w:smallCaps/>
      <w:color w:val="2F5496" w:themeColor="accent1" w:themeShade="BF"/>
      <w:spacing w:val="5"/>
    </w:rPr>
  </w:style>
  <w:style w:type="paragraph" w:styleId="FootnoteText">
    <w:name w:val="footnote text"/>
    <w:basedOn w:val="Normal"/>
    <w:link w:val="FootnoteTextChar"/>
    <w:uiPriority w:val="99"/>
    <w:rsid w:val="002D154C"/>
    <w:pPr>
      <w:spacing w:after="0" w:line="240" w:lineRule="auto"/>
      <w:ind w:left="730" w:right="10" w:hanging="10"/>
      <w:jc w:val="both"/>
    </w:pPr>
    <w:rPr>
      <w:rFonts w:ascii="Times New Roman" w:eastAsia="Times New Roman" w:hAnsi="Times New Roman" w:cs="Times New Roman"/>
      <w:color w:val="000000"/>
      <w:kern w:val="0"/>
      <w:sz w:val="20"/>
      <w:szCs w:val="20"/>
      <w:lang w:val="en-US"/>
      <w14:ligatures w14:val="none"/>
    </w:rPr>
  </w:style>
  <w:style w:type="character" w:customStyle="1" w:styleId="FootnoteTextChar">
    <w:name w:val="Footnote Text Char"/>
    <w:basedOn w:val="DefaultParagraphFont"/>
    <w:link w:val="FootnoteText"/>
    <w:uiPriority w:val="99"/>
    <w:rsid w:val="002D154C"/>
    <w:rPr>
      <w:rFonts w:ascii="Times New Roman" w:eastAsia="Times New Roman" w:hAnsi="Times New Roman" w:cs="Times New Roman"/>
      <w:color w:val="000000"/>
      <w:kern w:val="0"/>
      <w:sz w:val="20"/>
      <w:szCs w:val="20"/>
      <w:lang w:val="en-US"/>
      <w14:ligatures w14:val="none"/>
    </w:rPr>
  </w:style>
  <w:style w:type="character" w:styleId="FootnoteReference">
    <w:name w:val="footnote reference"/>
    <w:basedOn w:val="DefaultParagraphFont"/>
    <w:uiPriority w:val="99"/>
    <w:rsid w:val="002D15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2BB2D-187C-4BB6-87D6-F9E30741E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farizi</dc:creator>
  <cp:keywords/>
  <dc:description/>
  <cp:lastModifiedBy>muhammad farizi</cp:lastModifiedBy>
  <cp:revision>4</cp:revision>
  <dcterms:created xsi:type="dcterms:W3CDTF">2026-04-02T02:48:00Z</dcterms:created>
  <dcterms:modified xsi:type="dcterms:W3CDTF">2026-04-09T02:39:00Z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0eef4134-d608-331f-81e7-a2393aa9a9ae</vt:lpwstr>
  </property>
  <property fmtid="{D5CDD505-2E9C-101B-9397-08002B2CF9AE}" pid="24" name="Mendeley Citation Style_1">
    <vt:lpwstr>http://www.zotero.org/styles/modern-humanities-research-association</vt:lpwstr>
  </property>
</Properties>
</file>