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39E" w:rsidRPr="00AC5BF0" w:rsidRDefault="006D439E">
      <w:pPr>
        <w:rPr>
          <w:rFonts w:asciiTheme="majorBidi" w:hAnsiTheme="majorBidi" w:cstheme="majorBidi"/>
          <w:lang w:val="en-US"/>
        </w:rPr>
      </w:pPr>
      <w:r w:rsidRPr="00AC5BF0">
        <w:rPr>
          <w:rFonts w:asciiTheme="majorBidi" w:hAnsiTheme="majorBidi" w:cstheme="majorBidi"/>
          <w:lang w:val="en-US"/>
        </w:rPr>
        <w:t>Nama: Hidayatun Ni’mah</w:t>
      </w:r>
    </w:p>
    <w:p w:rsidR="006D439E" w:rsidRPr="00AC5BF0" w:rsidRDefault="006D439E">
      <w:pPr>
        <w:rPr>
          <w:rFonts w:asciiTheme="majorBidi" w:hAnsiTheme="majorBidi" w:cstheme="majorBidi"/>
          <w:lang w:val="en-US"/>
        </w:rPr>
      </w:pPr>
      <w:r w:rsidRPr="00AC5BF0">
        <w:rPr>
          <w:rFonts w:asciiTheme="majorBidi" w:hAnsiTheme="majorBidi" w:cstheme="majorBidi"/>
          <w:lang w:val="en-US"/>
        </w:rPr>
        <w:t>Kelas: 6B pai</w:t>
      </w:r>
    </w:p>
    <w:p w:rsidR="006D439E" w:rsidRPr="00AC5BF0" w:rsidRDefault="006D439E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1182"/>
        <w:gridCol w:w="1344"/>
        <w:gridCol w:w="1228"/>
        <w:gridCol w:w="1395"/>
        <w:gridCol w:w="1751"/>
        <w:gridCol w:w="1448"/>
        <w:gridCol w:w="1049"/>
        <w:gridCol w:w="1049"/>
        <w:gridCol w:w="1552"/>
      </w:tblGrid>
      <w:tr w:rsidR="00AC5BF0" w:rsidRPr="00AC5BF0" w:rsidTr="0019035C">
        <w:tc>
          <w:tcPr>
            <w:tcW w:w="1295" w:type="dxa"/>
          </w:tcPr>
          <w:p w:rsidR="0019035C" w:rsidRPr="00AC5BF0" w:rsidRDefault="0019035C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Masalah Fiqih</w:t>
            </w:r>
          </w:p>
        </w:tc>
        <w:tc>
          <w:tcPr>
            <w:tcW w:w="1295" w:type="dxa"/>
          </w:tcPr>
          <w:p w:rsidR="0019035C" w:rsidRPr="00AC5BF0" w:rsidRDefault="0019035C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Hasil Lbm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Hasil Tarjih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Dalil Lbm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Dalil Tarjih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Metode Lbm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Metode Tarjih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Rujukan Lbm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Rujukan Tarjih</w:t>
            </w:r>
          </w:p>
        </w:tc>
        <w:tc>
          <w:tcPr>
            <w:tcW w:w="1295" w:type="dxa"/>
          </w:tcPr>
          <w:p w:rsidR="0019035C" w:rsidRPr="00AC5BF0" w:rsidRDefault="006D439E" w:rsidP="007E1B1C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Fonts w:asciiTheme="majorBidi" w:hAnsiTheme="majorBidi" w:cstheme="majorBidi"/>
                <w:b/>
                <w:bCs/>
                <w:lang w:val="en-US"/>
              </w:rPr>
              <w:t>Analisis</w:t>
            </w:r>
          </w:p>
        </w:tc>
      </w:tr>
      <w:tr w:rsidR="00AC5BF0" w:rsidRPr="00AC5BF0" w:rsidTr="0019035C">
        <w:tc>
          <w:tcPr>
            <w:tcW w:w="1295" w:type="dxa"/>
          </w:tcPr>
          <w:p w:rsidR="0019035C" w:rsidRPr="00AC5BF0" w:rsidRDefault="006D439E">
            <w:pPr>
              <w:rPr>
                <w:rFonts w:asciiTheme="majorBidi" w:hAnsiTheme="majorBidi" w:cstheme="majorBidi"/>
                <w:lang w:val="en-US"/>
              </w:rPr>
            </w:pPr>
            <w:r w:rsidRPr="00AC5BF0">
              <w:rPr>
                <w:rFonts w:asciiTheme="majorBidi" w:hAnsiTheme="majorBidi" w:cstheme="majorBidi"/>
                <w:lang w:val="en-US"/>
              </w:rPr>
              <w:t>Penentuan Awal Ramadhan</w:t>
            </w:r>
          </w:p>
        </w:tc>
        <w:tc>
          <w:tcPr>
            <w:tcW w:w="1295" w:type="dxa"/>
          </w:tcPr>
          <w:p w:rsidR="0019035C" w:rsidRPr="00AC5BF0" w:rsidRDefault="007E1B1C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C5BF0">
              <w:rPr>
                <w:rStyle w:val="Strong"/>
                <w:rFonts w:asciiTheme="majorBidi" w:hAnsiTheme="majorBidi" w:cstheme="majorBidi"/>
              </w:rPr>
              <w:t>Lajnah Bahtsul Masail</w:t>
            </w:r>
            <w:r w:rsidRPr="00AC5BF0">
              <w:rPr>
                <w:rFonts w:asciiTheme="majorBidi" w:hAnsiTheme="majorBidi" w:cstheme="majorBidi"/>
              </w:rPr>
              <w:t xml:space="preserve"> memutuskan bahwa penentuan awal Ramadhan menggunakan </w:t>
            </w:r>
            <w:r w:rsidRPr="00AC5BF0">
              <w:rPr>
                <w:rStyle w:val="Strong"/>
                <w:rFonts w:asciiTheme="majorBidi" w:hAnsiTheme="majorBidi" w:cstheme="majorBidi"/>
              </w:rPr>
              <w:t>rukyatul hilal</w:t>
            </w:r>
            <w:r w:rsidRPr="00AC5BF0">
              <w:rPr>
                <w:rFonts w:asciiTheme="majorBidi" w:hAnsiTheme="majorBidi" w:cstheme="majorBidi"/>
              </w:rPr>
              <w:t xml:space="preserve"> (melihat bulan sabit secara langsung) yang didukung dengan </w:t>
            </w:r>
            <w:r w:rsidRPr="00AC5BF0">
              <w:rPr>
                <w:rStyle w:val="Strong"/>
                <w:rFonts w:asciiTheme="majorBidi" w:hAnsiTheme="majorBidi" w:cstheme="majorBidi"/>
              </w:rPr>
              <w:t>hisab sebagai alat bantu</w:t>
            </w:r>
            <w:r w:rsidRPr="00AC5BF0">
              <w:rPr>
                <w:rFonts w:asciiTheme="majorBidi" w:hAnsiTheme="majorBidi" w:cstheme="majorBidi"/>
              </w:rPr>
              <w:t>.</w:t>
            </w:r>
            <w:r w:rsidRPr="00AC5BF0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AC5BF0">
              <w:rPr>
                <w:rFonts w:asciiTheme="majorBidi" w:hAnsiTheme="majorBidi" w:cstheme="majorBidi"/>
              </w:rPr>
              <w:t xml:space="preserve">LBM NU umumnya merujuk </w:t>
            </w:r>
            <w:r w:rsidRPr="00AC5BF0">
              <w:rPr>
                <w:rStyle w:val="Strong"/>
                <w:rFonts w:asciiTheme="majorBidi" w:hAnsiTheme="majorBidi" w:cstheme="majorBidi"/>
              </w:rPr>
              <w:t xml:space="preserve">kitab fiqih mazhab </w:t>
            </w:r>
            <w:r w:rsidRPr="00AC5BF0">
              <w:rPr>
                <w:rStyle w:val="Strong"/>
                <w:rFonts w:asciiTheme="majorBidi" w:hAnsiTheme="majorBidi" w:cstheme="majorBidi"/>
              </w:rPr>
              <w:lastRenderedPageBreak/>
              <w:t>Syafi’i</w:t>
            </w:r>
            <w:r w:rsidRPr="00AC5BF0">
              <w:rPr>
                <w:rFonts w:asciiTheme="majorBidi" w:hAnsiTheme="majorBidi" w:cstheme="majorBidi"/>
              </w:rPr>
              <w:t xml:space="preserve"> dan kitab falak klasik yang membahas rukyatul hilal</w:t>
            </w:r>
            <w:r w:rsidRPr="00AC5BF0">
              <w:rPr>
                <w:rFonts w:asciiTheme="majorBidi" w:hAnsiTheme="majorBidi" w:cstheme="majorBidi"/>
                <w:lang w:val="en-US"/>
              </w:rPr>
              <w:t>. Seperti al-umm karya imam syafi’I, al-majmuk syarah al muhadzdzab, tuhfat al-muhjat, nihayat al-muhtaj.</w:t>
            </w:r>
          </w:p>
        </w:tc>
        <w:tc>
          <w:tcPr>
            <w:tcW w:w="1295" w:type="dxa"/>
          </w:tcPr>
          <w:p w:rsidR="0019035C" w:rsidRPr="00AC5BF0" w:rsidRDefault="007E1B1C">
            <w:pPr>
              <w:rPr>
                <w:rFonts w:asciiTheme="majorBidi" w:hAnsiTheme="majorBidi" w:cstheme="majorBidi"/>
                <w:lang w:val="en-US"/>
              </w:rPr>
            </w:pPr>
            <w:r w:rsidRPr="00AC5BF0">
              <w:rPr>
                <w:rFonts w:asciiTheme="majorBidi" w:hAnsiTheme="majorBidi" w:cstheme="majorBidi"/>
              </w:rPr>
              <w:lastRenderedPageBreak/>
              <w:t xml:space="preserve">Majelis Tarjih dan Tajdid Muhammadiyah menetapkan awal Ramadhan menggunakan </w:t>
            </w:r>
            <w:r w:rsidRPr="00AC5BF0">
              <w:rPr>
                <w:rStyle w:val="Strong"/>
                <w:rFonts w:asciiTheme="majorBidi" w:hAnsiTheme="majorBidi" w:cstheme="majorBidi"/>
              </w:rPr>
              <w:t>hisab hakiki wujudul hilal</w:t>
            </w:r>
            <w:r w:rsidRPr="00AC5BF0">
              <w:rPr>
                <w:rFonts w:asciiTheme="majorBidi" w:hAnsiTheme="majorBidi" w:cstheme="majorBidi"/>
              </w:rPr>
              <w:t>.</w:t>
            </w:r>
            <w:r w:rsidRPr="00AC5BF0">
              <w:rPr>
                <w:rFonts w:asciiTheme="majorBidi" w:hAnsiTheme="majorBidi" w:cstheme="majorBidi"/>
                <w:lang w:val="en-US"/>
              </w:rPr>
              <w:t xml:space="preserve"> Muhammadiyah biasanya merujuk pada hadist-hadist bukhari muslim dan kitab</w:t>
            </w:r>
            <w:bookmarkStart w:id="0" w:name="_GoBack"/>
            <w:bookmarkEnd w:id="0"/>
            <w:r w:rsidRPr="00AC5BF0">
              <w:rPr>
                <w:rFonts w:asciiTheme="majorBidi" w:hAnsiTheme="majorBidi" w:cstheme="majorBidi"/>
                <w:lang w:val="en-US"/>
              </w:rPr>
              <w:t xml:space="preserve"> fiqih bidayat al-mujtahid dan fiqh ai-sunnah.</w:t>
            </w:r>
          </w:p>
        </w:tc>
        <w:tc>
          <w:tcPr>
            <w:tcW w:w="1295" w:type="dxa"/>
          </w:tcPr>
          <w:p w:rsidR="002A279E" w:rsidRPr="00AC5BF0" w:rsidRDefault="002A279E" w:rsidP="002A279E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Style w:val="Strong"/>
                <w:rFonts w:asciiTheme="majorBidi" w:hAnsiTheme="majorBidi" w:cstheme="majorBidi"/>
                <w:rtl/>
              </w:rPr>
              <w:t>صُومُوا لِرُؤْيَتِهِ وَأَفْطِرُوا لِرُؤْيَتِهِ فَإِنْ غُمَّ عَلَيْكُمْ فَأَكْمِلُوا عِدَّةَ شَعْبَانَ ثَلَاثِينَ</w:t>
            </w:r>
          </w:p>
          <w:p w:rsidR="002A279E" w:rsidRPr="00AC5BF0" w:rsidRDefault="002A279E" w:rsidP="002A279E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Fonts w:asciiTheme="majorBidi" w:hAnsiTheme="majorBidi" w:cstheme="majorBidi"/>
              </w:rPr>
              <w:t>Artinya:</w:t>
            </w:r>
            <w:r w:rsidRPr="00AC5BF0">
              <w:rPr>
                <w:rFonts w:asciiTheme="majorBidi" w:hAnsiTheme="majorBidi" w:cstheme="majorBidi"/>
              </w:rPr>
              <w:br/>
              <w:t>“Berpuasalah kalian karena melihat hilal dan berbukalah karena melihatnya. Jika tertutup awan maka sempurnakan bilangan Sya'ban menjadi 30 hari.”</w:t>
            </w:r>
            <w:r w:rsidRPr="00AC5BF0">
              <w:rPr>
                <w:rFonts w:asciiTheme="majorBidi" w:hAnsiTheme="majorBidi" w:cstheme="majorBidi"/>
              </w:rPr>
              <w:br/>
            </w:r>
            <w:r w:rsidRPr="00AC5BF0">
              <w:rPr>
                <w:rFonts w:asciiTheme="majorBidi" w:hAnsiTheme="majorBidi" w:cstheme="majorBidi"/>
              </w:rPr>
              <w:lastRenderedPageBreak/>
              <w:t xml:space="preserve">(HR. </w:t>
            </w:r>
            <w:r w:rsidRPr="00AC5BF0">
              <w:rPr>
                <w:rStyle w:val="whitespace-normal"/>
                <w:rFonts w:asciiTheme="majorBidi" w:hAnsiTheme="majorBidi" w:cstheme="majorBidi"/>
              </w:rPr>
              <w:t>Sahih al-Bukhari</w:t>
            </w:r>
            <w:r w:rsidRPr="00AC5BF0">
              <w:rPr>
                <w:rFonts w:asciiTheme="majorBidi" w:hAnsiTheme="majorBidi" w:cstheme="majorBidi"/>
              </w:rPr>
              <w:t xml:space="preserve"> dan </w:t>
            </w:r>
            <w:r w:rsidRPr="00AC5BF0">
              <w:rPr>
                <w:rStyle w:val="whitespace-normal"/>
                <w:rFonts w:asciiTheme="majorBidi" w:hAnsiTheme="majorBidi" w:cstheme="majorBidi"/>
              </w:rPr>
              <w:t>Sahih Muslim</w:t>
            </w:r>
            <w:r w:rsidRPr="00AC5BF0">
              <w:rPr>
                <w:rFonts w:asciiTheme="majorBidi" w:hAnsiTheme="majorBidi" w:cstheme="majorBidi"/>
              </w:rPr>
              <w:t>)</w:t>
            </w:r>
          </w:p>
          <w:p w:rsidR="0019035C" w:rsidRPr="00AC5BF0" w:rsidRDefault="0019035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95" w:type="dxa"/>
          </w:tcPr>
          <w:p w:rsidR="002A279E" w:rsidRPr="00AC5BF0" w:rsidRDefault="002A279E" w:rsidP="002A279E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Style w:val="Strong"/>
                <w:rFonts w:asciiTheme="majorBidi" w:hAnsiTheme="majorBidi" w:cstheme="majorBidi"/>
                <w:rtl/>
              </w:rPr>
              <w:lastRenderedPageBreak/>
              <w:t>إِنَّا أُمَّةٌ أُمِّيَّةٌ لَا نَكْتُبُ وَلَا نَحْسُبُ</w:t>
            </w:r>
          </w:p>
          <w:p w:rsidR="002A279E" w:rsidRPr="00AC5BF0" w:rsidRDefault="002A279E" w:rsidP="002A279E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Fonts w:asciiTheme="majorBidi" w:hAnsiTheme="majorBidi" w:cstheme="majorBidi"/>
              </w:rPr>
              <w:t>Artinya:</w:t>
            </w:r>
            <w:r w:rsidRPr="00AC5BF0">
              <w:rPr>
                <w:rFonts w:asciiTheme="majorBidi" w:hAnsiTheme="majorBidi" w:cstheme="majorBidi"/>
              </w:rPr>
              <w:br/>
              <w:t>“Sesungguhnya kami adalah umat yang ummi, tidak menulis dan tidak menghitung.”</w:t>
            </w:r>
            <w:r w:rsidRPr="00AC5BF0">
              <w:rPr>
                <w:rFonts w:asciiTheme="majorBidi" w:hAnsiTheme="majorBidi" w:cstheme="majorBidi"/>
              </w:rPr>
              <w:br/>
              <w:t xml:space="preserve">(HR. </w:t>
            </w:r>
            <w:r w:rsidRPr="00AC5BF0">
              <w:rPr>
                <w:rStyle w:val="whitespace-normal"/>
                <w:rFonts w:asciiTheme="majorBidi" w:hAnsiTheme="majorBidi" w:cstheme="majorBidi"/>
              </w:rPr>
              <w:t>Sahih al-Bukhari</w:t>
            </w:r>
            <w:r w:rsidRPr="00AC5BF0">
              <w:rPr>
                <w:rFonts w:asciiTheme="majorBidi" w:hAnsiTheme="majorBidi" w:cstheme="majorBidi"/>
              </w:rPr>
              <w:t>)</w:t>
            </w:r>
          </w:p>
          <w:p w:rsidR="0019035C" w:rsidRPr="00AC5BF0" w:rsidRDefault="0019035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95" w:type="dxa"/>
          </w:tcPr>
          <w:p w:rsidR="00AC5BF0" w:rsidRPr="00AC5BF0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Fonts w:asciiTheme="majorBidi" w:hAnsiTheme="majorBidi" w:cstheme="majorBidi"/>
              </w:rPr>
              <w:t xml:space="preserve">Metode yang digunakan oleh </w:t>
            </w:r>
            <w:r w:rsidRPr="00AC5BF0">
              <w:rPr>
                <w:rStyle w:val="Strong"/>
                <w:rFonts w:asciiTheme="majorBidi" w:hAnsiTheme="majorBidi" w:cstheme="majorBidi"/>
              </w:rPr>
              <w:t>Lajnah Bahtsul Masail</w:t>
            </w:r>
            <w:r w:rsidRPr="00AC5BF0">
              <w:rPr>
                <w:rFonts w:asciiTheme="majorBidi" w:hAnsiTheme="majorBidi" w:cstheme="majorBidi"/>
              </w:rPr>
              <w:t xml:space="preserve"> di lingkungan </w:t>
            </w:r>
            <w:r w:rsidRPr="00AC5BF0">
              <w:rPr>
                <w:rStyle w:val="whitespace-normal"/>
                <w:rFonts w:asciiTheme="majorBidi" w:hAnsiTheme="majorBidi" w:cstheme="majorBidi"/>
              </w:rPr>
              <w:t>Nahdlatul Ulama</w:t>
            </w:r>
            <w:r w:rsidRPr="00AC5BF0">
              <w:rPr>
                <w:rFonts w:asciiTheme="majorBidi" w:hAnsiTheme="majorBidi" w:cstheme="majorBidi"/>
              </w:rPr>
              <w:t xml:space="preserve"> adalah </w:t>
            </w:r>
            <w:r w:rsidRPr="00AC5BF0">
              <w:rPr>
                <w:rStyle w:val="Strong"/>
                <w:rFonts w:asciiTheme="majorBidi" w:hAnsiTheme="majorBidi" w:cstheme="majorBidi"/>
              </w:rPr>
              <w:t>metode qauli (berbasis pendapat ulama mazhab)</w:t>
            </w:r>
            <w:r w:rsidRPr="00AC5BF0">
              <w:rPr>
                <w:rFonts w:asciiTheme="majorBidi" w:hAnsiTheme="majorBidi" w:cstheme="majorBidi"/>
              </w:rPr>
              <w:t xml:space="preserve"> dengan pendekatan fiqih klasik</w:t>
            </w:r>
            <w:r w:rsidRPr="00AC5BF0">
              <w:rPr>
                <w:rFonts w:asciiTheme="majorBidi" w:hAnsiTheme="majorBidi" w:cstheme="majorBidi"/>
              </w:rPr>
              <w:t xml:space="preserve"> untuk menentukan awal ramadhan dengan metode Metode penentuan awal Ramadhan adalah:</w:t>
            </w:r>
          </w:p>
          <w:p w:rsidR="002A279E" w:rsidRPr="002A279E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Fonts w:asciiTheme="majorBidi" w:hAnsiTheme="majorBidi" w:cstheme="majorBidi"/>
                <w:b/>
                <w:bCs/>
              </w:rPr>
              <w:t>Rukyatul hilal (melihat hilal)</w:t>
            </w:r>
            <w:r w:rsidRPr="002A279E">
              <w:rPr>
                <w:rFonts w:asciiTheme="majorBidi" w:hAnsiTheme="majorBidi" w:cstheme="majorBidi"/>
              </w:rPr>
              <w:t xml:space="preserve"> </w:t>
            </w:r>
            <w:r w:rsidRPr="002A279E">
              <w:rPr>
                <w:rFonts w:asciiTheme="majorBidi" w:hAnsiTheme="majorBidi" w:cstheme="majorBidi"/>
              </w:rPr>
              <w:lastRenderedPageBreak/>
              <w:t>sebagai metode utama.</w:t>
            </w:r>
            <w:r w:rsidR="00AC5BF0" w:rsidRPr="00AC5BF0">
              <w:rPr>
                <w:rFonts w:asciiTheme="majorBidi" w:hAnsiTheme="majorBidi" w:cstheme="majorBidi"/>
              </w:rPr>
              <w:t xml:space="preserve"> </w:t>
            </w:r>
            <w:r w:rsidRPr="00AC5BF0">
              <w:rPr>
                <w:rFonts w:asciiTheme="majorBidi" w:hAnsiTheme="majorBidi" w:cstheme="majorBidi"/>
                <w:b/>
                <w:bCs/>
              </w:rPr>
              <w:t>Hisab digunakan sebagai alat bantu</w:t>
            </w:r>
            <w:r w:rsidRPr="002A279E">
              <w:rPr>
                <w:rFonts w:asciiTheme="majorBidi" w:hAnsiTheme="majorBidi" w:cstheme="majorBidi"/>
              </w:rPr>
              <w:t xml:space="preserve"> untuk memperkirakan kemungkinan terlihatnya hilal.Jika hilal tidak terlihat maka dilakukan </w:t>
            </w:r>
            <w:r w:rsidRPr="00AC5BF0">
              <w:rPr>
                <w:rFonts w:asciiTheme="majorBidi" w:hAnsiTheme="majorBidi" w:cstheme="majorBidi"/>
                <w:b/>
                <w:bCs/>
              </w:rPr>
              <w:t>istikmal (menyempurnakan bulan menjadi 30 hari)</w:t>
            </w:r>
            <w:r w:rsidRPr="002A279E">
              <w:rPr>
                <w:rFonts w:asciiTheme="majorBidi" w:hAnsiTheme="majorBidi" w:cstheme="majorBidi"/>
              </w:rPr>
              <w:t>.</w:t>
            </w:r>
          </w:p>
          <w:p w:rsidR="0019035C" w:rsidRPr="00AC5BF0" w:rsidRDefault="0019035C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5" w:type="dxa"/>
          </w:tcPr>
          <w:p w:rsidR="00AC5BF0" w:rsidRPr="00AC5BF0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Fonts w:asciiTheme="majorBidi" w:hAnsiTheme="majorBidi" w:cstheme="majorBidi"/>
              </w:rPr>
              <w:lastRenderedPageBreak/>
              <w:t xml:space="preserve">Metode yang digunakan oleh </w:t>
            </w:r>
            <w:r w:rsidRPr="00AC5BF0">
              <w:rPr>
                <w:rStyle w:val="Strong"/>
                <w:rFonts w:asciiTheme="majorBidi" w:hAnsiTheme="majorBidi" w:cstheme="majorBidi"/>
              </w:rPr>
              <w:t>Majelis Tarjih dan Tajdid</w:t>
            </w:r>
            <w:r w:rsidRPr="00AC5BF0">
              <w:rPr>
                <w:rFonts w:asciiTheme="majorBidi" w:hAnsiTheme="majorBidi" w:cstheme="majorBidi"/>
              </w:rPr>
              <w:t xml:space="preserve"> di lingkungan </w:t>
            </w:r>
            <w:r w:rsidRPr="00AC5BF0">
              <w:rPr>
                <w:rStyle w:val="whitespace-normal"/>
                <w:rFonts w:asciiTheme="majorBidi" w:hAnsiTheme="majorBidi" w:cstheme="majorBidi"/>
              </w:rPr>
              <w:t>Muhammadiyah</w:t>
            </w:r>
            <w:r w:rsidRPr="00AC5BF0">
              <w:rPr>
                <w:rFonts w:asciiTheme="majorBidi" w:hAnsiTheme="majorBidi" w:cstheme="majorBidi"/>
              </w:rPr>
              <w:t xml:space="preserve"> adalah </w:t>
            </w:r>
            <w:r w:rsidRPr="00AC5BF0">
              <w:rPr>
                <w:rStyle w:val="Strong"/>
                <w:rFonts w:asciiTheme="majorBidi" w:hAnsiTheme="majorBidi" w:cstheme="majorBidi"/>
              </w:rPr>
              <w:t>ijtihad langsung pada Al-Qur’an dan Sunnah</w:t>
            </w:r>
            <w:r w:rsidRPr="00AC5BF0">
              <w:rPr>
                <w:rFonts w:asciiTheme="majorBidi" w:hAnsiTheme="majorBidi" w:cstheme="majorBidi"/>
              </w:rPr>
              <w:t xml:space="preserve"> dengan pendekatan rasional dan ilmiah</w:t>
            </w:r>
            <w:r w:rsidRPr="00AC5BF0">
              <w:rPr>
                <w:rFonts w:asciiTheme="majorBidi" w:hAnsiTheme="majorBidi" w:cstheme="majorBidi"/>
              </w:rPr>
              <w:t xml:space="preserve">. </w:t>
            </w:r>
            <w:r w:rsidRPr="00AC5BF0">
              <w:rPr>
                <w:rFonts w:asciiTheme="majorBidi" w:hAnsiTheme="majorBidi" w:cstheme="majorBidi"/>
                <w:b/>
                <w:bCs/>
              </w:rPr>
              <w:t>Hisab hakiki wujudul hilal</w:t>
            </w:r>
            <w:r w:rsidRPr="00AC5BF0">
              <w:rPr>
                <w:rFonts w:asciiTheme="majorBidi" w:hAnsiTheme="majorBidi" w:cstheme="majorBidi"/>
              </w:rPr>
              <w:t>, yaitu bulan baru dimulai jika:</w:t>
            </w:r>
          </w:p>
          <w:p w:rsidR="00AC5BF0" w:rsidRPr="00AC5BF0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2A279E">
              <w:rPr>
                <w:rFonts w:asciiTheme="majorBidi" w:hAnsiTheme="majorBidi" w:cstheme="majorBidi"/>
              </w:rPr>
              <w:lastRenderedPageBreak/>
              <w:t xml:space="preserve">Sudah terjadi </w:t>
            </w:r>
            <w:r w:rsidRPr="00AC5BF0">
              <w:rPr>
                <w:rFonts w:asciiTheme="majorBidi" w:hAnsiTheme="majorBidi" w:cstheme="majorBidi"/>
                <w:b/>
                <w:bCs/>
              </w:rPr>
              <w:t>ijtima’ (konjungsi)</w:t>
            </w:r>
            <w:r w:rsidRPr="002A279E">
              <w:rPr>
                <w:rFonts w:asciiTheme="majorBidi" w:hAnsiTheme="majorBidi" w:cstheme="majorBidi"/>
              </w:rPr>
              <w:t>.</w:t>
            </w:r>
          </w:p>
          <w:p w:rsidR="00AC5BF0" w:rsidRPr="00AC5BF0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2A279E">
              <w:rPr>
                <w:rFonts w:asciiTheme="majorBidi" w:hAnsiTheme="majorBidi" w:cstheme="majorBidi"/>
              </w:rPr>
              <w:t xml:space="preserve">Ijtima’ terjadi </w:t>
            </w:r>
            <w:r w:rsidRPr="00AC5BF0">
              <w:rPr>
                <w:rFonts w:asciiTheme="majorBidi" w:hAnsiTheme="majorBidi" w:cstheme="majorBidi"/>
                <w:b/>
                <w:bCs/>
              </w:rPr>
              <w:t>sebelum matahari terbenam</w:t>
            </w:r>
            <w:r w:rsidRPr="002A279E">
              <w:rPr>
                <w:rFonts w:asciiTheme="majorBidi" w:hAnsiTheme="majorBidi" w:cstheme="majorBidi"/>
              </w:rPr>
              <w:t>.</w:t>
            </w:r>
          </w:p>
          <w:p w:rsidR="002A279E" w:rsidRPr="002A279E" w:rsidRDefault="002A279E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2A279E">
              <w:rPr>
                <w:rFonts w:asciiTheme="majorBidi" w:hAnsiTheme="majorBidi" w:cstheme="majorBidi"/>
              </w:rPr>
              <w:t xml:space="preserve">Saat matahari terbenam </w:t>
            </w:r>
            <w:r w:rsidRPr="00AC5BF0">
              <w:rPr>
                <w:rFonts w:asciiTheme="majorBidi" w:hAnsiTheme="majorBidi" w:cstheme="majorBidi"/>
                <w:b/>
                <w:bCs/>
              </w:rPr>
              <w:t>bulan berada di atas ufuk</w:t>
            </w:r>
            <w:r w:rsidRPr="002A279E">
              <w:rPr>
                <w:rFonts w:asciiTheme="majorBidi" w:hAnsiTheme="majorBidi" w:cstheme="majorBidi"/>
              </w:rPr>
              <w:t xml:space="preserve"> (hilal sudah wujud).</w:t>
            </w:r>
          </w:p>
          <w:p w:rsidR="00AC5BF0" w:rsidRPr="00AC5BF0" w:rsidRDefault="002A279E" w:rsidP="00AC5BF0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</w:pPr>
            <w:r w:rsidRPr="002A279E"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  <w:t>Dengan metode ini:</w:t>
            </w:r>
          </w:p>
          <w:p w:rsidR="00AC5BF0" w:rsidRPr="00AC5BF0" w:rsidRDefault="002A279E" w:rsidP="00AC5BF0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</w:pPr>
            <w:r w:rsidRPr="002A279E"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  <w:t>Tidak perlu rukyat langsung.</w:t>
            </w:r>
          </w:p>
          <w:p w:rsidR="002A279E" w:rsidRPr="002A279E" w:rsidRDefault="002A279E" w:rsidP="00AC5BF0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</w:pPr>
            <w:r w:rsidRPr="002A279E"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  <w:t xml:space="preserve">Awal Ramadhan bisa ditentukan jauh hari </w:t>
            </w:r>
            <w:r w:rsidRPr="002A279E">
              <w:rPr>
                <w:rFonts w:asciiTheme="majorBidi" w:eastAsia="Times New Roman" w:hAnsiTheme="majorBidi" w:cstheme="majorBidi"/>
                <w:noProof w:val="0"/>
                <w:sz w:val="24"/>
                <w:szCs w:val="24"/>
                <w:lang w:val="en-US"/>
              </w:rPr>
              <w:lastRenderedPageBreak/>
              <w:t>melalui perhitungan astronomi.</w:t>
            </w:r>
          </w:p>
          <w:p w:rsidR="0019035C" w:rsidRPr="00AC5BF0" w:rsidRDefault="0019035C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5" w:type="dxa"/>
          </w:tcPr>
          <w:p w:rsidR="0019035C" w:rsidRPr="00AC5BF0" w:rsidRDefault="002A279E">
            <w:pPr>
              <w:rPr>
                <w:rFonts w:asciiTheme="majorBidi" w:hAnsiTheme="majorBidi" w:cstheme="majorBidi"/>
                <w:lang w:val="en-US"/>
              </w:rPr>
            </w:pPr>
            <w:r w:rsidRPr="00AC5BF0">
              <w:rPr>
                <w:rFonts w:asciiTheme="majorBidi" w:hAnsiTheme="majorBidi" w:cstheme="majorBidi"/>
                <w:lang w:val="en-US"/>
              </w:rPr>
              <w:lastRenderedPageBreak/>
              <w:t xml:space="preserve">Rujukannya adalah kitab kitab karangan imam syafi’I dan </w:t>
            </w:r>
            <w:r w:rsidR="00AC5BF0" w:rsidRPr="00AC5BF0">
              <w:rPr>
                <w:rFonts w:asciiTheme="majorBidi" w:hAnsiTheme="majorBidi" w:cstheme="majorBidi"/>
                <w:lang w:val="en-US"/>
              </w:rPr>
              <w:t xml:space="preserve">fiqih klasik, serta kitab falak klasik, contoh </w:t>
            </w:r>
            <w:r w:rsidR="00AC5BF0" w:rsidRPr="00AC5BF0">
              <w:rPr>
                <w:rFonts w:asciiTheme="majorBidi" w:hAnsiTheme="majorBidi" w:cstheme="majorBidi"/>
              </w:rPr>
              <w:t>Al-Umm, Al-Majmu’, Tuhfat al-Muhtaj</w:t>
            </w:r>
          </w:p>
        </w:tc>
        <w:tc>
          <w:tcPr>
            <w:tcW w:w="1295" w:type="dxa"/>
          </w:tcPr>
          <w:p w:rsidR="0019035C" w:rsidRPr="00AC5BF0" w:rsidRDefault="00AC5BF0">
            <w:pPr>
              <w:rPr>
                <w:rFonts w:asciiTheme="majorBidi" w:hAnsiTheme="majorBidi" w:cstheme="majorBidi"/>
                <w:lang w:val="en-US"/>
              </w:rPr>
            </w:pPr>
            <w:r w:rsidRPr="00AC5BF0">
              <w:rPr>
                <w:rFonts w:asciiTheme="majorBidi" w:hAnsiTheme="majorBidi" w:cstheme="majorBidi"/>
                <w:lang w:val="en-US"/>
              </w:rPr>
              <w:t xml:space="preserve">Rujukannya al-quran dan hadist, diantaranya </w:t>
            </w:r>
            <w:r w:rsidRPr="00AC5BF0">
              <w:rPr>
                <w:rFonts w:asciiTheme="majorBidi" w:hAnsiTheme="majorBidi" w:cstheme="majorBidi"/>
              </w:rPr>
              <w:t>Bidayat al-Mujtahid, Fiqh al-Sunnah</w:t>
            </w:r>
            <w:r w:rsidRPr="00AC5BF0"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295" w:type="dxa"/>
          </w:tcPr>
          <w:p w:rsidR="00AC5BF0" w:rsidRPr="00AC5BF0" w:rsidRDefault="00AC5BF0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Style w:val="Strong"/>
                <w:rFonts w:asciiTheme="majorBidi" w:hAnsiTheme="majorBidi" w:cstheme="majorBidi"/>
              </w:rPr>
              <w:t>LBM (NU)</w:t>
            </w:r>
            <w:r w:rsidRPr="00AC5BF0">
              <w:rPr>
                <w:rFonts w:asciiTheme="majorBidi" w:hAnsiTheme="majorBidi" w:cstheme="majorBidi"/>
              </w:rPr>
              <w:t xml:space="preserve"> menggunakan pendekatan </w:t>
            </w:r>
            <w:r w:rsidRPr="00AC5BF0">
              <w:rPr>
                <w:rStyle w:val="Strong"/>
                <w:rFonts w:asciiTheme="majorBidi" w:hAnsiTheme="majorBidi" w:cstheme="majorBidi"/>
              </w:rPr>
              <w:t>tekstual dan mazhabiyah</w:t>
            </w:r>
            <w:r w:rsidRPr="00AC5BF0">
              <w:rPr>
                <w:rFonts w:asciiTheme="majorBidi" w:hAnsiTheme="majorBidi" w:cstheme="majorBidi"/>
              </w:rPr>
              <w:t xml:space="preserve">, yaitu mengikuti pemahaman ulama mazhab Syafi’i yang menekankan </w:t>
            </w:r>
            <w:r w:rsidRPr="00AC5BF0">
              <w:rPr>
                <w:rStyle w:val="Strong"/>
                <w:rFonts w:asciiTheme="majorBidi" w:hAnsiTheme="majorBidi" w:cstheme="majorBidi"/>
              </w:rPr>
              <w:t>rukyatul hilal</w:t>
            </w:r>
            <w:r w:rsidRPr="00AC5BF0">
              <w:rPr>
                <w:rFonts w:asciiTheme="majorBidi" w:hAnsiTheme="majorBidi" w:cstheme="majorBidi"/>
              </w:rPr>
              <w:t xml:space="preserve"> sebagai cara menentukan awal Ramadhan.</w:t>
            </w:r>
          </w:p>
          <w:p w:rsidR="00AC5BF0" w:rsidRPr="00AC5BF0" w:rsidRDefault="00AC5BF0" w:rsidP="00AC5BF0">
            <w:pPr>
              <w:pStyle w:val="NormalWeb"/>
              <w:rPr>
                <w:rFonts w:asciiTheme="majorBidi" w:hAnsiTheme="majorBidi" w:cstheme="majorBidi"/>
              </w:rPr>
            </w:pPr>
            <w:r w:rsidRPr="00AC5BF0">
              <w:rPr>
                <w:rStyle w:val="Strong"/>
                <w:rFonts w:asciiTheme="majorBidi" w:hAnsiTheme="majorBidi" w:cstheme="majorBidi"/>
              </w:rPr>
              <w:t>Tarjih Muhammadiyah</w:t>
            </w:r>
            <w:r w:rsidRPr="00AC5BF0">
              <w:rPr>
                <w:rFonts w:asciiTheme="majorBidi" w:hAnsiTheme="majorBidi" w:cstheme="majorBidi"/>
              </w:rPr>
              <w:t xml:space="preserve"> menggunakan pendekatan </w:t>
            </w:r>
            <w:r w:rsidRPr="00AC5BF0">
              <w:rPr>
                <w:rStyle w:val="Strong"/>
                <w:rFonts w:asciiTheme="majorBidi" w:hAnsiTheme="majorBidi" w:cstheme="majorBidi"/>
              </w:rPr>
              <w:t>kontekstual dan rasional</w:t>
            </w:r>
            <w:r w:rsidRPr="00AC5BF0">
              <w:rPr>
                <w:rFonts w:asciiTheme="majorBidi" w:hAnsiTheme="majorBidi" w:cstheme="majorBidi"/>
              </w:rPr>
              <w:t xml:space="preserve">, yaitu menilai </w:t>
            </w:r>
            <w:r w:rsidRPr="00AC5BF0">
              <w:rPr>
                <w:rFonts w:asciiTheme="majorBidi" w:hAnsiTheme="majorBidi" w:cstheme="majorBidi"/>
              </w:rPr>
              <w:lastRenderedPageBreak/>
              <w:t xml:space="preserve">bahwa tujuan hadis adalah memastikan masuknya bulan baru, sehingga </w:t>
            </w:r>
            <w:r w:rsidRPr="00AC5BF0">
              <w:rPr>
                <w:rStyle w:val="Strong"/>
                <w:rFonts w:asciiTheme="majorBidi" w:hAnsiTheme="majorBidi" w:cstheme="majorBidi"/>
              </w:rPr>
              <w:t>hisab astronomi</w:t>
            </w:r>
            <w:r w:rsidRPr="00AC5BF0">
              <w:rPr>
                <w:rFonts w:asciiTheme="majorBidi" w:hAnsiTheme="majorBidi" w:cstheme="majorBidi"/>
              </w:rPr>
              <w:t xml:space="preserve"> dapat digunakan karena lebih akurat secara ilmiah.</w:t>
            </w:r>
          </w:p>
          <w:p w:rsidR="0019035C" w:rsidRPr="00AC5BF0" w:rsidRDefault="0019035C">
            <w:pPr>
              <w:rPr>
                <w:rFonts w:asciiTheme="majorBidi" w:hAnsiTheme="majorBidi" w:cstheme="majorBidi"/>
              </w:rPr>
            </w:pPr>
          </w:p>
        </w:tc>
      </w:tr>
    </w:tbl>
    <w:p w:rsidR="008F09F4" w:rsidRPr="00AC5BF0" w:rsidRDefault="008F09F4">
      <w:pPr>
        <w:rPr>
          <w:rFonts w:asciiTheme="majorBidi" w:hAnsiTheme="majorBidi" w:cstheme="majorBidi"/>
        </w:rPr>
      </w:pPr>
    </w:p>
    <w:sectPr w:rsidR="008F09F4" w:rsidRPr="00AC5BF0" w:rsidSect="001903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332" w:rsidRDefault="003F1332" w:rsidP="006D439E">
      <w:pPr>
        <w:spacing w:after="0" w:line="240" w:lineRule="auto"/>
      </w:pPr>
      <w:r>
        <w:separator/>
      </w:r>
    </w:p>
  </w:endnote>
  <w:endnote w:type="continuationSeparator" w:id="0">
    <w:p w:rsidR="003F1332" w:rsidRDefault="003F1332" w:rsidP="006D4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332" w:rsidRDefault="003F1332" w:rsidP="006D439E">
      <w:pPr>
        <w:spacing w:after="0" w:line="240" w:lineRule="auto"/>
      </w:pPr>
      <w:r>
        <w:separator/>
      </w:r>
    </w:p>
  </w:footnote>
  <w:footnote w:type="continuationSeparator" w:id="0">
    <w:p w:rsidR="003F1332" w:rsidRDefault="003F1332" w:rsidP="006D4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033E8"/>
    <w:multiLevelType w:val="multilevel"/>
    <w:tmpl w:val="FC56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3A33F2"/>
    <w:multiLevelType w:val="multilevel"/>
    <w:tmpl w:val="F48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782566"/>
    <w:multiLevelType w:val="multilevel"/>
    <w:tmpl w:val="F5CC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5C"/>
    <w:rsid w:val="0019035C"/>
    <w:rsid w:val="002A279E"/>
    <w:rsid w:val="003F1332"/>
    <w:rsid w:val="006D439E"/>
    <w:rsid w:val="007E1B1C"/>
    <w:rsid w:val="008F09F4"/>
    <w:rsid w:val="00A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EFE2A-71F4-44A6-AC39-271C6041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39E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6D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39E"/>
    <w:rPr>
      <w:noProof/>
      <w:lang w:val="id-ID"/>
    </w:rPr>
  </w:style>
  <w:style w:type="character" w:styleId="Strong">
    <w:name w:val="Strong"/>
    <w:basedOn w:val="DefaultParagraphFont"/>
    <w:uiPriority w:val="22"/>
    <w:qFormat/>
    <w:rsid w:val="007E1B1C"/>
    <w:rPr>
      <w:b/>
      <w:bCs/>
    </w:rPr>
  </w:style>
  <w:style w:type="paragraph" w:styleId="NormalWeb">
    <w:name w:val="Normal (Web)"/>
    <w:basedOn w:val="Normal"/>
    <w:uiPriority w:val="99"/>
    <w:unhideWhenUsed/>
    <w:rsid w:val="002A2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2A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5F021-A7A0-4FC7-A1CE-0F598F707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1</cp:revision>
  <dcterms:created xsi:type="dcterms:W3CDTF">2026-03-12T01:58:00Z</dcterms:created>
  <dcterms:modified xsi:type="dcterms:W3CDTF">2026-03-12T02:45:00Z</dcterms:modified>
</cp:coreProperties>
</file>