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9DD8" w14:textId="3CA7F7EF" w:rsidR="003A08F0" w:rsidRPr="003A08F0" w:rsidRDefault="003A08F0" w:rsidP="003A08F0">
      <w:pPr>
        <w:bidi/>
        <w:rPr>
          <w:b/>
          <w:bCs/>
        </w:rPr>
      </w:pPr>
      <w:r w:rsidRPr="003A08F0">
        <w:rPr>
          <w:b/>
          <w:bCs/>
          <w:rtl/>
        </w:rPr>
        <w:t xml:space="preserve">ملخص البحث </w:t>
      </w:r>
    </w:p>
    <w:p w14:paraId="1C5348BA" w14:textId="77777777" w:rsidR="003A08F0" w:rsidRPr="003A08F0" w:rsidRDefault="003A08F0" w:rsidP="003A08F0">
      <w:pPr>
        <w:bidi/>
      </w:pPr>
      <w:r w:rsidRPr="003A08F0">
        <w:rPr>
          <w:b/>
          <w:bCs/>
          <w:rtl/>
        </w:rPr>
        <w:t>حليم، عبد. ٢٠٢٦</w:t>
      </w:r>
      <w:r w:rsidRPr="003A08F0">
        <w:rPr>
          <w:b/>
          <w:bCs/>
        </w:rPr>
        <w:t>.</w:t>
      </w:r>
      <w:r w:rsidRPr="003A08F0">
        <w:t xml:space="preserve"> "</w:t>
      </w:r>
      <w:r w:rsidRPr="003A08F0">
        <w:rPr>
          <w:rtl/>
        </w:rPr>
        <w:t>دور علماء القرية (كياي كامبونغ) في بناء التناغم الاجتماعي القائم على التربية الإسلامية متعددة الثقافات (دراسة إثنوغرافية في قرية غابرينغ «قرية بانشاسيلا» بمنطقة كانيغورو، محافظة بليتار)</w:t>
      </w:r>
      <w:r w:rsidRPr="003A08F0">
        <w:t xml:space="preserve">". </w:t>
      </w:r>
      <w:r w:rsidRPr="003A08F0">
        <w:rPr>
          <w:b/>
          <w:bCs/>
          <w:rtl/>
        </w:rPr>
        <w:t>أطروحة</w:t>
      </w:r>
      <w:r w:rsidRPr="003A08F0">
        <w:rPr>
          <w:rtl/>
        </w:rPr>
        <w:t>، برنامج دكتوراه في التربية الإسلامية متعددة الثقافات، كلية الدراسات العليا بجامعة مالانج الإسلامية</w:t>
      </w:r>
      <w:r w:rsidRPr="003A08F0">
        <w:t xml:space="preserve">. </w:t>
      </w:r>
      <w:r w:rsidRPr="003A08F0">
        <w:rPr>
          <w:b/>
          <w:bCs/>
          <w:rtl/>
        </w:rPr>
        <w:t>المشرف الأول</w:t>
      </w:r>
      <w:r w:rsidRPr="003A08F0">
        <w:rPr>
          <w:b/>
          <w:bCs/>
        </w:rPr>
        <w:t>:</w:t>
      </w:r>
      <w:r w:rsidRPr="003A08F0">
        <w:t xml:space="preserve"> </w:t>
      </w:r>
      <w:r w:rsidRPr="003A08F0">
        <w:rPr>
          <w:rtl/>
        </w:rPr>
        <w:t>الأستاذ الدكتور الحاج محمد مسعود سعيد</w:t>
      </w:r>
      <w:r w:rsidRPr="003A08F0">
        <w:t xml:space="preserve">. </w:t>
      </w:r>
      <w:r w:rsidRPr="003A08F0">
        <w:rPr>
          <w:b/>
          <w:bCs/>
          <w:rtl/>
        </w:rPr>
        <w:t>المشرف الثاني</w:t>
      </w:r>
      <w:r w:rsidRPr="003A08F0">
        <w:rPr>
          <w:b/>
          <w:bCs/>
        </w:rPr>
        <w:t>:</w:t>
      </w:r>
      <w:r w:rsidRPr="003A08F0">
        <w:t xml:space="preserve"> </w:t>
      </w:r>
      <w:r w:rsidRPr="003A08F0">
        <w:rPr>
          <w:rtl/>
        </w:rPr>
        <w:t>الأستاذ الدكتور الحاج جنيدي غوني</w:t>
      </w:r>
      <w:r w:rsidRPr="003A08F0">
        <w:t>.</w:t>
      </w:r>
    </w:p>
    <w:p w14:paraId="4219D891" w14:textId="77777777" w:rsidR="003A08F0" w:rsidRPr="003A08F0" w:rsidRDefault="003A08F0" w:rsidP="003A08F0">
      <w:pPr>
        <w:bidi/>
      </w:pPr>
      <w:r w:rsidRPr="003A08F0">
        <w:rPr>
          <w:b/>
          <w:bCs/>
          <w:rtl/>
        </w:rPr>
        <w:t>الكلمات المفتاحية</w:t>
      </w:r>
      <w:r w:rsidRPr="003A08F0">
        <w:rPr>
          <w:b/>
          <w:bCs/>
        </w:rPr>
        <w:t>:</w:t>
      </w:r>
      <w:r w:rsidRPr="003A08F0">
        <w:t xml:space="preserve"> </w:t>
      </w:r>
      <w:r w:rsidRPr="003A08F0">
        <w:rPr>
          <w:rtl/>
        </w:rPr>
        <w:t>الدور، علماء القرية، التناغم الاجتماعي، التربية الإسلامية متعددة الثقافات</w:t>
      </w:r>
      <w:r w:rsidRPr="003A08F0">
        <w:t>.</w:t>
      </w:r>
    </w:p>
    <w:p w14:paraId="74961A13" w14:textId="77777777" w:rsidR="003A08F0" w:rsidRPr="003A08F0" w:rsidRDefault="003A08F0" w:rsidP="003A08F0">
      <w:pPr>
        <w:bidi/>
      </w:pPr>
      <w:r w:rsidRPr="003A08F0">
        <w:rPr>
          <w:rtl/>
        </w:rPr>
        <w:t>تُعدّ قرية "غابرينغ" (المعروفة بقرية بانشاسيلا) بمنطقة كانيغورو، محافظة بليتار، نموذجاً للمجتمعات التي تُظهر تناغماً اجتماعياً قائماً على قيم التربية الإسلامية متعددة الثقافات. ويُسهم تنوع الخلفيات الاجتماعية والثقافية في هذه القرية في إبراز الحاجة إلى إدارة القيم الدينية على أسس التسامح، والعمل الجماعي، واحترام الاختلاف، بما يحقق الوئام والاستقرار الاجتماعي</w:t>
      </w:r>
      <w:r w:rsidRPr="003A08F0">
        <w:t>.</w:t>
      </w:r>
    </w:p>
    <w:p w14:paraId="3D733E38" w14:textId="77777777" w:rsidR="003A08F0" w:rsidRPr="003A08F0" w:rsidRDefault="003A08F0" w:rsidP="003A08F0">
      <w:pPr>
        <w:bidi/>
      </w:pPr>
      <w:r w:rsidRPr="003A08F0">
        <w:rPr>
          <w:rtl/>
        </w:rPr>
        <w:t>تهدف هذه الدراسة إلى وصف وتحليل وتفسير مستوى التناغم الاجتماعي القائم على التربية الإسلامية متعددة الثقافات، وبيان دور علماء القرية بوصفهم فاعلين أساسيين في بنائه، إضافة إلى استكشاف نماذج بناء هذا التناغم في قرية غابرينغ</w:t>
      </w:r>
      <w:r w:rsidRPr="003A08F0">
        <w:t>.</w:t>
      </w:r>
    </w:p>
    <w:p w14:paraId="0926B2CE" w14:textId="77777777" w:rsidR="003A08F0" w:rsidRPr="003A08F0" w:rsidRDefault="003A08F0" w:rsidP="003A08F0">
      <w:pPr>
        <w:bidi/>
      </w:pPr>
      <w:r w:rsidRPr="003A08F0">
        <w:rPr>
          <w:rtl/>
        </w:rPr>
        <w:t>اعتمدت الدراسة المنهج الكيفي بنوع الدراسة الإثنوغرافية. وتم جمع البيانات من خلال الملاحظة بالمشاركة، والمقابلات المتعمقة شبه المهيكلة، والتوثيق. وشملت عينة البحث رئيس القرية، والقيادات الدينية، وعلماء القرية، والوجهاء، وأفراد المجتمع. واعتمد تحليل البيانات على منهج سبرادلي الإثنوغرافي، الذي يتضمن: جمع البيانات، وتنظيمها، وترميزها، وتصنيفها، واستخلاص الأنماط، وتفسيرها، والتحقق من صحتها، وصولاً إلى بناء النتائج. كما تم التحقق من مصداقية البيانات من خلال تثليث المصادر والتقنيات</w:t>
      </w:r>
      <w:r w:rsidRPr="003A08F0">
        <w:t>.</w:t>
      </w:r>
    </w:p>
    <w:p w14:paraId="2CA62EC0" w14:textId="77777777" w:rsidR="003A08F0" w:rsidRPr="003A08F0" w:rsidRDefault="003A08F0" w:rsidP="003A08F0">
      <w:pPr>
        <w:bidi/>
      </w:pPr>
      <w:r w:rsidRPr="003A08F0">
        <w:rPr>
          <w:b/>
          <w:bCs/>
          <w:rtl/>
        </w:rPr>
        <w:t>أظهرت نتائج الدراسة ما يلي</w:t>
      </w:r>
      <w:r w:rsidRPr="003A08F0">
        <w:rPr>
          <w:b/>
          <w:bCs/>
        </w:rPr>
        <w:t>:</w:t>
      </w:r>
    </w:p>
    <w:p w14:paraId="7E5C5224" w14:textId="77777777" w:rsidR="003A08F0" w:rsidRPr="003A08F0" w:rsidRDefault="003A08F0" w:rsidP="003A08F0">
      <w:pPr>
        <w:bidi/>
      </w:pPr>
      <w:r w:rsidRPr="003A08F0">
        <w:rPr>
          <w:b/>
          <w:bCs/>
          <w:rtl/>
        </w:rPr>
        <w:t>أولاً</w:t>
      </w:r>
      <w:r w:rsidRPr="003A08F0">
        <w:rPr>
          <w:b/>
          <w:bCs/>
        </w:rPr>
        <w:t>:</w:t>
      </w:r>
      <w:r w:rsidRPr="003A08F0">
        <w:t xml:space="preserve"> </w:t>
      </w:r>
      <w:r w:rsidRPr="003A08F0">
        <w:rPr>
          <w:rtl/>
        </w:rPr>
        <w:t>إن مستوى التناغم الاجتماعي في مجتمع قرية غابرينغ يقع ضمن فئة "المتناغم بدرجة كافية"، حيث تتجلى ملامحه في: (١) الممارسات الدينية الجماعية الشاملة، (٢) التسامح الديني المستدام، (٣) تعزيز الأخلاق الاجتماعية القائمة على الفهم الشرعي، (٤) الجهود المبذولة في التعمق الروحي</w:t>
      </w:r>
      <w:r w:rsidRPr="003A08F0">
        <w:t>.</w:t>
      </w:r>
    </w:p>
    <w:p w14:paraId="36C8197A" w14:textId="77777777" w:rsidR="003A08F0" w:rsidRPr="003A08F0" w:rsidRDefault="003A08F0" w:rsidP="003A08F0">
      <w:pPr>
        <w:bidi/>
      </w:pPr>
      <w:r w:rsidRPr="003A08F0">
        <w:rPr>
          <w:b/>
          <w:bCs/>
          <w:rtl/>
        </w:rPr>
        <w:t>ثانياً</w:t>
      </w:r>
      <w:r w:rsidRPr="003A08F0">
        <w:rPr>
          <w:b/>
          <w:bCs/>
        </w:rPr>
        <w:t>:</w:t>
      </w:r>
      <w:r w:rsidRPr="003A08F0">
        <w:t xml:space="preserve"> </w:t>
      </w:r>
      <w:r w:rsidRPr="003A08F0">
        <w:rPr>
          <w:rtl/>
        </w:rPr>
        <w:t>يتميز دور علماء القرية في بناء التناغم الاجتماعي بطابع ثقافي وطبيعي وغير رسمي، حيث يمارسونه في تفاعلاتهم اليومية لتحقيق الوئام. ويتجسد هذا الدور في ستة أشكال رئيسية: (١) محرك للحياة الدينية الجماعية القائمة على التقاليد المحلية، (٢) حارس للتناغم الاجتماعي عبر المداخل الثقافية والعائلية، (٣) وسيط غير رسمي في النزاعات الاجتماعية ذات الطابع الديني، (٤) قدوة أخلاقية في المجتمع، (٥) فاعل تربوي يعزز التربية الإسلامية متعددة الثقافات بشكل ضمني، (٦) فاعل اجتماعي متكيف مع التقاليد والديناميكيات المحلية</w:t>
      </w:r>
      <w:r w:rsidRPr="003A08F0">
        <w:t>.</w:t>
      </w:r>
    </w:p>
    <w:p w14:paraId="35863476" w14:textId="77777777" w:rsidR="003A08F0" w:rsidRPr="003A08F0" w:rsidRDefault="003A08F0" w:rsidP="003A08F0">
      <w:pPr>
        <w:bidi/>
      </w:pPr>
      <w:r w:rsidRPr="003A08F0">
        <w:rPr>
          <w:b/>
          <w:bCs/>
          <w:rtl/>
        </w:rPr>
        <w:lastRenderedPageBreak/>
        <w:t>ثالثاً</w:t>
      </w:r>
      <w:r w:rsidRPr="003A08F0">
        <w:rPr>
          <w:b/>
          <w:bCs/>
        </w:rPr>
        <w:t>:</w:t>
      </w:r>
      <w:r w:rsidRPr="003A08F0">
        <w:t xml:space="preserve"> </w:t>
      </w:r>
      <w:r w:rsidRPr="003A08F0">
        <w:rPr>
          <w:rtl/>
        </w:rPr>
        <w:t>تتمثل نماذج بناء التناغم الاجتماعي في: (١) النموذج التكاملي، (٢) النموذج العلاقي، (٣) النموذج غير الرسمي، (٤) نموذج القدوة، والتي تشكل مجتمعة إطاراً لبناء مجتمع متناغم</w:t>
      </w:r>
      <w:r w:rsidRPr="003A08F0">
        <w:t>.</w:t>
      </w:r>
    </w:p>
    <w:p w14:paraId="78977638" w14:textId="77777777" w:rsidR="003A08F0" w:rsidRPr="003A08F0" w:rsidRDefault="003A08F0" w:rsidP="003A08F0">
      <w:pPr>
        <w:bidi/>
      </w:pPr>
      <w:r w:rsidRPr="003A08F0">
        <w:rPr>
          <w:b/>
          <w:bCs/>
          <w:rtl/>
        </w:rPr>
        <w:t>وتتوصل الدراسة إلى المقترحات النظرية الآتية</w:t>
      </w:r>
      <w:r w:rsidRPr="003A08F0">
        <w:rPr>
          <w:b/>
          <w:bCs/>
        </w:rPr>
        <w:t>:</w:t>
      </w:r>
    </w:p>
    <w:p w14:paraId="659F3D00" w14:textId="77777777" w:rsidR="003A08F0" w:rsidRPr="003A08F0" w:rsidRDefault="003A08F0" w:rsidP="003A08F0">
      <w:pPr>
        <w:bidi/>
      </w:pPr>
      <w:r w:rsidRPr="003A08F0">
        <w:rPr>
          <w:rtl/>
        </w:rPr>
        <w:t>١</w:t>
      </w:r>
      <w:r w:rsidRPr="003A08F0">
        <w:t xml:space="preserve">. </w:t>
      </w:r>
      <w:r w:rsidRPr="003A08F0">
        <w:rPr>
          <w:rtl/>
        </w:rPr>
        <w:t>إن تجسيد التربية الإسلامية متعددة الثقافات من خلال الممارسات الدينية الشاملة، والتسامح، وتعزيز الأخلاق الاجتماعية، يسهم في تحقيق التناغم الاجتماعي بصورة سياقية ومستدامة</w:t>
      </w:r>
      <w:r w:rsidRPr="003A08F0">
        <w:t>.</w:t>
      </w:r>
      <w:r w:rsidRPr="003A08F0">
        <w:br/>
      </w:r>
      <w:r w:rsidRPr="003A08F0">
        <w:rPr>
          <w:rtl/>
        </w:rPr>
        <w:t>٢</w:t>
      </w:r>
      <w:r w:rsidRPr="003A08F0">
        <w:t xml:space="preserve">. </w:t>
      </w:r>
      <w:r w:rsidRPr="003A08F0">
        <w:rPr>
          <w:rtl/>
        </w:rPr>
        <w:t>إن قيام علماء القرية بأدوارهم بوصفهم وسطاء اجتماعيين، وقدوات أخلاقية، وفاعلين متكيفين مع التقاليد المحلية، يعزز استمرارية الوئام المجتمعي</w:t>
      </w:r>
      <w:r w:rsidRPr="003A08F0">
        <w:t>.</w:t>
      </w:r>
      <w:r w:rsidRPr="003A08F0">
        <w:br/>
      </w:r>
      <w:r w:rsidRPr="003A08F0">
        <w:rPr>
          <w:rtl/>
        </w:rPr>
        <w:t>٣</w:t>
      </w:r>
      <w:r w:rsidRPr="003A08F0">
        <w:t xml:space="preserve">. </w:t>
      </w:r>
      <w:r w:rsidRPr="003A08F0">
        <w:rPr>
          <w:rtl/>
        </w:rPr>
        <w:t>إن تطبيق النماذج التكاملية والعلاقية ونموذج القدوة يسهم في بناء تناغم اجتماعي مرن ومتوافق مع السياقات المحلية</w:t>
      </w:r>
      <w:r w:rsidRPr="003A08F0">
        <w:t>.</w:t>
      </w:r>
    </w:p>
    <w:p w14:paraId="28F4102E" w14:textId="77777777" w:rsidR="003A08F0" w:rsidRPr="003A08F0" w:rsidRDefault="003A08F0" w:rsidP="003A08F0">
      <w:pPr>
        <w:bidi/>
      </w:pPr>
      <w:r w:rsidRPr="003A08F0">
        <w:rPr>
          <w:b/>
          <w:bCs/>
          <w:rtl/>
        </w:rPr>
        <w:t>وتتمثل أصالة البحث (الإسهام العلمي الجديد) في</w:t>
      </w:r>
      <w:r w:rsidRPr="003A08F0">
        <w:rPr>
          <w:b/>
          <w:bCs/>
        </w:rPr>
        <w:t>:</w:t>
      </w:r>
    </w:p>
    <w:p w14:paraId="361D6CC2" w14:textId="77777777" w:rsidR="003A08F0" w:rsidRPr="003A08F0" w:rsidRDefault="003A08F0" w:rsidP="003A08F0">
      <w:pPr>
        <w:bidi/>
      </w:pPr>
      <w:r w:rsidRPr="003A08F0">
        <w:rPr>
          <w:rtl/>
        </w:rPr>
        <w:t>١</w:t>
      </w:r>
      <w:r w:rsidRPr="003A08F0">
        <w:t xml:space="preserve">. </w:t>
      </w:r>
      <w:r w:rsidRPr="003A08F0">
        <w:rPr>
          <w:rtl/>
        </w:rPr>
        <w:t>تقديم مفهوم التناغم الاجتماعي القائم على التكامل الديني الاجتماعي، الذي يجعل الممارسة الدينية وسيلة للاندماج الاجتماعي، بما يسهم في إثراء نظرية إميل دوركايم</w:t>
      </w:r>
      <w:r w:rsidRPr="003A08F0">
        <w:t xml:space="preserve"> (1912).</w:t>
      </w:r>
      <w:r w:rsidRPr="003A08F0">
        <w:br/>
      </w:r>
      <w:r w:rsidRPr="003A08F0">
        <w:rPr>
          <w:rtl/>
        </w:rPr>
        <w:t>٢</w:t>
      </w:r>
      <w:r w:rsidRPr="003A08F0">
        <w:t xml:space="preserve">. </w:t>
      </w:r>
      <w:r w:rsidRPr="003A08F0">
        <w:rPr>
          <w:rtl/>
        </w:rPr>
        <w:t>إبراز دور علماء القرية كفاعلين في تحقيق الوئام الاجتماعي من خلال ممارسات ثقافية ضمنية، بما يوسع الأطر النظرية للدراسات الاجتماعية المعاصرة</w:t>
      </w:r>
      <w:r w:rsidRPr="003A08F0">
        <w:t>.</w:t>
      </w:r>
      <w:r w:rsidRPr="003A08F0">
        <w:br/>
      </w:r>
      <w:r w:rsidRPr="003A08F0">
        <w:rPr>
          <w:rtl/>
        </w:rPr>
        <w:t>٣</w:t>
      </w:r>
      <w:r w:rsidRPr="003A08F0">
        <w:t xml:space="preserve">. </w:t>
      </w:r>
      <w:r w:rsidRPr="003A08F0">
        <w:rPr>
          <w:rtl/>
        </w:rPr>
        <w:t>اقتراح نموذج لبناء التناغم الاجتماعي قائم على التربية الإسلامية متعددة الثقافات ذات الطابع غير الرسمي، بما يسهم في إثراء نظرية يوهان غالتونغ</w:t>
      </w:r>
      <w:r w:rsidRPr="003A08F0">
        <w:t xml:space="preserve"> (1996).</w:t>
      </w:r>
    </w:p>
    <w:p w14:paraId="21E22339" w14:textId="77777777" w:rsidR="003A08F0" w:rsidRPr="003A08F0" w:rsidRDefault="003A08F0" w:rsidP="003A08F0">
      <w:pPr>
        <w:bidi/>
      </w:pPr>
      <w:r w:rsidRPr="003A08F0">
        <w:rPr>
          <w:rtl/>
        </w:rPr>
        <w:t>وبناءً على نتائج الدراسة، توصي هذه الدراسة المجتمع والقيادات الدينية بتعزيز الممارسات الدينية الشاملة، وتوسيع آفاق التفاعل الاجتماعي القائم على التسامح. كما توصي الجهات المحلية والمؤسسات الاجتماعية باعتماد مقاربات تنموية ثقافية وتشاركية، بما يسهم في رفع مستوى التناغم الاجتماعي بصورة أكثر فاعلية واستدامة</w:t>
      </w:r>
      <w:r w:rsidRPr="003A08F0">
        <w:t>.</w:t>
      </w:r>
    </w:p>
    <w:p w14:paraId="187ACB64" w14:textId="77777777" w:rsidR="00F27EB3" w:rsidRDefault="00F27EB3" w:rsidP="003A08F0">
      <w:pPr>
        <w:bidi/>
      </w:pPr>
    </w:p>
    <w:sectPr w:rsidR="00F27EB3" w:rsidSect="00A14770">
      <w:pgSz w:w="11906" w:h="18709" w:code="1000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0069"/>
    <w:multiLevelType w:val="multilevel"/>
    <w:tmpl w:val="F56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D70FD"/>
    <w:multiLevelType w:val="multilevel"/>
    <w:tmpl w:val="ED3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3125">
    <w:abstractNumId w:val="0"/>
  </w:num>
  <w:num w:numId="2" w16cid:durableId="502402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F0"/>
    <w:rsid w:val="001E2C8F"/>
    <w:rsid w:val="002F67D9"/>
    <w:rsid w:val="003A08F0"/>
    <w:rsid w:val="00563181"/>
    <w:rsid w:val="006A5D7E"/>
    <w:rsid w:val="006E53D7"/>
    <w:rsid w:val="007420E2"/>
    <w:rsid w:val="007727FB"/>
    <w:rsid w:val="00A14770"/>
    <w:rsid w:val="00A217D0"/>
    <w:rsid w:val="00AC1FFE"/>
    <w:rsid w:val="00CF403D"/>
    <w:rsid w:val="00DB5E82"/>
    <w:rsid w:val="00F27EB3"/>
    <w:rsid w:val="00F644A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B875"/>
  <w15:chartTrackingRefBased/>
  <w15:docId w15:val="{DC26B423-05C7-4B54-9338-B00346B7C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raditional Arabic"/>
        <w:kern w:val="2"/>
        <w:sz w:val="24"/>
        <w:szCs w:val="30"/>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8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8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08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08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08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08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08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8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8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08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08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08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08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08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8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8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08F0"/>
    <w:pPr>
      <w:spacing w:before="160"/>
      <w:jc w:val="center"/>
    </w:pPr>
    <w:rPr>
      <w:i/>
      <w:iCs/>
      <w:color w:val="404040" w:themeColor="text1" w:themeTint="BF"/>
    </w:rPr>
  </w:style>
  <w:style w:type="character" w:customStyle="1" w:styleId="QuoteChar">
    <w:name w:val="Quote Char"/>
    <w:basedOn w:val="DefaultParagraphFont"/>
    <w:link w:val="Quote"/>
    <w:uiPriority w:val="29"/>
    <w:rsid w:val="003A08F0"/>
    <w:rPr>
      <w:i/>
      <w:iCs/>
      <w:color w:val="404040" w:themeColor="text1" w:themeTint="BF"/>
    </w:rPr>
  </w:style>
  <w:style w:type="paragraph" w:styleId="ListParagraph">
    <w:name w:val="List Paragraph"/>
    <w:basedOn w:val="Normal"/>
    <w:uiPriority w:val="34"/>
    <w:qFormat/>
    <w:rsid w:val="003A08F0"/>
    <w:pPr>
      <w:ind w:left="720"/>
      <w:contextualSpacing/>
    </w:pPr>
  </w:style>
  <w:style w:type="character" w:styleId="IntenseEmphasis">
    <w:name w:val="Intense Emphasis"/>
    <w:basedOn w:val="DefaultParagraphFont"/>
    <w:uiPriority w:val="21"/>
    <w:qFormat/>
    <w:rsid w:val="003A08F0"/>
    <w:rPr>
      <w:i/>
      <w:iCs/>
      <w:color w:val="0F4761" w:themeColor="accent1" w:themeShade="BF"/>
    </w:rPr>
  </w:style>
  <w:style w:type="paragraph" w:styleId="IntenseQuote">
    <w:name w:val="Intense Quote"/>
    <w:basedOn w:val="Normal"/>
    <w:next w:val="Normal"/>
    <w:link w:val="IntenseQuoteChar"/>
    <w:uiPriority w:val="30"/>
    <w:qFormat/>
    <w:rsid w:val="003A0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8F0"/>
    <w:rPr>
      <w:i/>
      <w:iCs/>
      <w:color w:val="0F4761" w:themeColor="accent1" w:themeShade="BF"/>
    </w:rPr>
  </w:style>
  <w:style w:type="character" w:styleId="IntenseReference">
    <w:name w:val="Intense Reference"/>
    <w:basedOn w:val="DefaultParagraphFont"/>
    <w:uiPriority w:val="32"/>
    <w:qFormat/>
    <w:rsid w:val="003A0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Zainul Hakim</dc:creator>
  <cp:keywords/>
  <dc:description/>
  <cp:lastModifiedBy>Zainul Hakim</cp:lastModifiedBy>
  <cp:revision>2</cp:revision>
  <dcterms:created xsi:type="dcterms:W3CDTF">2026-04-09T03:51:00Z</dcterms:created>
  <dcterms:modified xsi:type="dcterms:W3CDTF">2026-04-09T03:56:00Z</dcterms:modified>
</cp:coreProperties>
</file>