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AD0" w:rsidRDefault="00BE3AD0" w:rsidP="00062372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62372">
        <w:rPr>
          <w:rFonts w:ascii="Times New Roman" w:hAnsi="Times New Roman" w:cs="Times New Roman"/>
          <w:noProof/>
          <w:sz w:val="24"/>
          <w:szCs w:val="24"/>
          <w:lang w:val="id-ID"/>
        </w:rPr>
        <w:t>N</w:t>
      </w:r>
      <w:r w:rsidR="00062372">
        <w:rPr>
          <w:rFonts w:ascii="Times New Roman" w:hAnsi="Times New Roman" w:cs="Times New Roman"/>
          <w:noProof/>
          <w:sz w:val="24"/>
          <w:szCs w:val="24"/>
          <w:lang w:val="id-ID"/>
        </w:rPr>
        <w:t>ama</w:t>
      </w:r>
      <w:r w:rsidR="00062372"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 w:rsidRPr="00062372">
        <w:rPr>
          <w:rFonts w:ascii="Times New Roman" w:hAnsi="Times New Roman" w:cs="Times New Roman"/>
          <w:noProof/>
          <w:sz w:val="24"/>
          <w:szCs w:val="24"/>
          <w:lang w:val="id-ID"/>
        </w:rPr>
        <w:t>ALFI ARDILLA</w:t>
      </w:r>
    </w:p>
    <w:p w:rsidR="00062372" w:rsidRPr="00062372" w:rsidRDefault="00062372" w:rsidP="0006237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Nim</w:t>
      </w:r>
      <w:r>
        <w:rPr>
          <w:rFonts w:ascii="Times New Roman" w:hAnsi="Times New Roman" w:cs="Times New Roman"/>
          <w:noProof/>
          <w:sz w:val="24"/>
          <w:szCs w:val="24"/>
        </w:rPr>
        <w:tab/>
        <w:t>: 23051150</w:t>
      </w:r>
    </w:p>
    <w:p w:rsidR="00062372" w:rsidRPr="00062372" w:rsidRDefault="00062372" w:rsidP="00062372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tbl>
      <w:tblPr>
        <w:tblStyle w:val="TableGrid"/>
        <w:tblW w:w="15519" w:type="dxa"/>
        <w:tblInd w:w="-1281" w:type="dxa"/>
        <w:tblLook w:val="04A0" w:firstRow="1" w:lastRow="0" w:firstColumn="1" w:lastColumn="0" w:noHBand="0" w:noVBand="1"/>
      </w:tblPr>
      <w:tblGrid>
        <w:gridCol w:w="1243"/>
        <w:gridCol w:w="1697"/>
        <w:gridCol w:w="1452"/>
        <w:gridCol w:w="1790"/>
        <w:gridCol w:w="1541"/>
        <w:gridCol w:w="1288"/>
        <w:gridCol w:w="1563"/>
        <w:gridCol w:w="1795"/>
        <w:gridCol w:w="1541"/>
        <w:gridCol w:w="1609"/>
      </w:tblGrid>
      <w:tr w:rsidR="00E86DFC" w:rsidRPr="00062372" w:rsidTr="00552FC3">
        <w:tc>
          <w:tcPr>
            <w:tcW w:w="1190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Masalah fiqih</w:t>
            </w:r>
          </w:p>
        </w:tc>
        <w:tc>
          <w:tcPr>
            <w:tcW w:w="1904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Tafsir LBM</w:t>
            </w:r>
          </w:p>
        </w:tc>
        <w:tc>
          <w:tcPr>
            <w:tcW w:w="1586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Hasil Tarjih</w:t>
            </w:r>
          </w:p>
        </w:tc>
        <w:tc>
          <w:tcPr>
            <w:tcW w:w="1798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LBM</w:t>
            </w:r>
          </w:p>
        </w:tc>
        <w:tc>
          <w:tcPr>
            <w:tcW w:w="1700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tarjih</w:t>
            </w:r>
          </w:p>
        </w:tc>
        <w:tc>
          <w:tcPr>
            <w:tcW w:w="1356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Metode LBM</w:t>
            </w:r>
          </w:p>
        </w:tc>
        <w:tc>
          <w:tcPr>
            <w:tcW w:w="1482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Metode tarjih</w:t>
            </w:r>
          </w:p>
        </w:tc>
        <w:tc>
          <w:tcPr>
            <w:tcW w:w="1882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Rujukan LBM</w:t>
            </w:r>
          </w:p>
        </w:tc>
        <w:tc>
          <w:tcPr>
            <w:tcW w:w="1703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Rujukan Tarjih</w:t>
            </w:r>
          </w:p>
        </w:tc>
        <w:tc>
          <w:tcPr>
            <w:tcW w:w="918" w:type="dxa"/>
          </w:tcPr>
          <w:p w:rsidR="00BE3AD0" w:rsidRPr="00062372" w:rsidRDefault="00BE3AD0" w:rsidP="0006237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Analisis</w:t>
            </w:r>
          </w:p>
        </w:tc>
      </w:tr>
      <w:tr w:rsidR="00E86DFC" w:rsidRPr="002A065B" w:rsidTr="00552FC3">
        <w:tc>
          <w:tcPr>
            <w:tcW w:w="1190" w:type="dxa"/>
          </w:tcPr>
          <w:p w:rsidR="00BE3AD0" w:rsidRPr="00062372" w:rsidRDefault="00BE3AD0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Penentuan </w:t>
            </w:r>
            <w:r w:rsidR="00062372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Awal Ramadhan </w:t>
            </w:r>
          </w:p>
        </w:tc>
        <w:tc>
          <w:tcPr>
            <w:tcW w:w="1904" w:type="dxa"/>
          </w:tcPr>
          <w:p w:rsidR="00BE3AD0" w:rsidRPr="00062372" w:rsidRDefault="00BE3AD0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Penentuan awal bulan ramadhan dilakukan dengan ru’yatul hilal. Hal ini didasarkan pada dalil al- qur’an dan hadist nabi</w:t>
            </w:r>
            <w:r w:rsidR="001E419D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 Jika hilal tidak terlihat karna mengandung sebab lain maka bulan sya’ban disempurnakan menjadi 30 hari (metode hisab).</w:t>
            </w:r>
          </w:p>
        </w:tc>
        <w:tc>
          <w:tcPr>
            <w:tcW w:w="1586" w:type="dxa"/>
          </w:tcPr>
          <w:p w:rsidR="00BE3AD0" w:rsidRPr="00062372" w:rsidRDefault="001E419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Penentuan awal bulan ramadhan dilakukan dengan metode hisab (perhitungan astronomi).</w:t>
            </w:r>
          </w:p>
          <w:p w:rsidR="001E419D" w:rsidRPr="00062372" w:rsidRDefault="001E419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Hisab dianggap lebih pasti dan ilmiah untuk menentukan awal bulan hijriyah.</w:t>
            </w:r>
          </w:p>
        </w:tc>
        <w:tc>
          <w:tcPr>
            <w:tcW w:w="1798" w:type="dxa"/>
          </w:tcPr>
          <w:p w:rsidR="00BE3AD0" w:rsidRPr="00062372" w:rsidRDefault="001E419D" w:rsidP="001E419D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Al-Qur’an:</w:t>
            </w:r>
          </w:p>
          <w:p w:rsidR="00552FC3" w:rsidRPr="00062372" w:rsidRDefault="001E419D" w:rsidP="00552FC3">
            <w:pPr>
              <w:pStyle w:val="ListParagraph"/>
              <w:ind w:left="-103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QS. Al-Baqarah; 185</w:t>
            </w:r>
            <w:r w:rsidR="00552FC3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</w:t>
            </w:r>
            <w:r w:rsidR="00552FC3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br/>
            </w:r>
            <w:r w:rsidR="00552FC3" w:rsidRPr="0006237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id-ID"/>
              </w:rPr>
              <w:t>شَهْرُ رَمَضَانَ الَّذِي أُنْزِلَ فِيهِ الْقُرْآنُ هُدًى لِلنَّاسِ وَبَيِّنَاتٍ مِّنَ الْهُدَىٰ وَالْفُرْقَانِ ۚ فَمَن شَهِدَ مِنكُمُ الشَّهْرَ فَلْيَصُمْهُ ۖ وَمَن كَانَ مَرِيضًا أَوْ عَلَىٰ سَفَرٍ فَعِدَّةٌ مِّنْ أَيَّامٍ أُخَرَ ۗ يُرِيدُ اللَّهُ بِكُمُ الْيُسْرَ وَلَا يُرِيدُ بِكُمُ الْعُسْرَ وَلِتُكْمِلُوا الْعِدَّةَ وَلِتُكَبِّرُوا اللَّهَ عَلَىٰ مَا هَدَاكُمْ وَلَعَلَّكُمْ تَشْكُرُونَ</w:t>
            </w:r>
          </w:p>
          <w:p w:rsidR="001E419D" w:rsidRPr="00062372" w:rsidRDefault="001E419D" w:rsidP="001E419D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Hadist:</w:t>
            </w:r>
          </w:p>
          <w:p w:rsidR="001E419D" w:rsidRPr="00062372" w:rsidRDefault="001E419D" w:rsidP="00E86DFC">
            <w:pPr>
              <w:pStyle w:val="ListParagraph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“</w:t>
            </w:r>
            <w:r w:rsidR="00E86DFC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B</w:t>
            </w: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erpuasalah kalian karena melihat hilal dan berbukalah </w:t>
            </w:r>
            <w:r w:rsidR="00E86DFC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karna </w:t>
            </w: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melihat hilal</w:t>
            </w:r>
            <w:r w:rsidR="00E86DFC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 Jika hilal tertutup awan maka sempurnakanlah bulan sya’ban menjadi 30 hari.”</w:t>
            </w:r>
          </w:p>
          <w:p w:rsidR="00E86DFC" w:rsidRPr="00062372" w:rsidRDefault="00E86DFC" w:rsidP="00E86DFC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(HR. Bukhari dan muslim)</w:t>
            </w:r>
          </w:p>
        </w:tc>
        <w:tc>
          <w:tcPr>
            <w:tcW w:w="1700" w:type="dxa"/>
          </w:tcPr>
          <w:p w:rsidR="00E86DFC" w:rsidRPr="00062372" w:rsidRDefault="00E86DFC" w:rsidP="00E86DFC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Al-Qur’an:</w:t>
            </w:r>
          </w:p>
          <w:p w:rsidR="00552FC3" w:rsidRPr="00062372" w:rsidRDefault="00E86DFC" w:rsidP="00552FC3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QS. Yunus; 5</w:t>
            </w:r>
            <w:r w:rsidR="00552FC3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br/>
            </w:r>
            <w:r w:rsidR="00552FC3" w:rsidRPr="0006237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id-ID"/>
              </w:rPr>
              <w:t>هُوَ الَّذِي جَعَلَ الشَّمْسَ ضِيَاءً وَالْقَمَرَ نُورًا وَقَدَّرَهُ مَنَازِلَ لِتَعْلَمُوا عَدَدَ السِّنِينَ وَالْحِسَابَ ۚ مَا خَلَقَ اللَّهُ ذَٰلِكَ إِلَّا بِالْحَقِّ ۚ يُفَصِّلُ الْآيَاتِ لِقَوْمٍ يَعْلَمُونَ</w:t>
            </w:r>
          </w:p>
          <w:p w:rsidR="00E86DFC" w:rsidRPr="00062372" w:rsidRDefault="00E86DFC" w:rsidP="00E86DFC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Hadist:</w:t>
            </w:r>
          </w:p>
          <w:p w:rsidR="00E86DFC" w:rsidRPr="00062372" w:rsidRDefault="00E86DFC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“kami adalah umat yang umm, tidak menulis dan tidak menghitung.”</w:t>
            </w:r>
          </w:p>
          <w:p w:rsidR="00E86DFC" w:rsidRPr="00062372" w:rsidRDefault="00E86DFC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(HR. Bukhari dan muslim)</w:t>
            </w:r>
          </w:p>
        </w:tc>
        <w:tc>
          <w:tcPr>
            <w:tcW w:w="1356" w:type="dxa"/>
          </w:tcPr>
          <w:p w:rsidR="00BE3AD0" w:rsidRPr="00062372" w:rsidRDefault="00E86DFC" w:rsidP="00E86DFC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Metode utama yang digunakan adalah ru’yat (melihat hilal secara langsung) dengan bantuan hisab sebagai pendukung</w:t>
            </w:r>
          </w:p>
        </w:tc>
        <w:tc>
          <w:tcPr>
            <w:tcW w:w="1482" w:type="dxa"/>
          </w:tcPr>
          <w:p w:rsidR="00BE3AD0" w:rsidRPr="00062372" w:rsidRDefault="00E86DFC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Metode tarjih menggunakan h</w:t>
            </w:r>
            <w:r w:rsidR="00552FC3"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isab wujudul hilal yaitu berdasarkan perhitungan posisi bulan secara ilmiyah</w:t>
            </w:r>
          </w:p>
        </w:tc>
        <w:tc>
          <w:tcPr>
            <w:tcW w:w="1882" w:type="dxa"/>
          </w:tcPr>
          <w:p w:rsidR="00552FC3" w:rsidRPr="00062372" w:rsidRDefault="00552FC3" w:rsidP="00552FC3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Al-Qur’an:</w:t>
            </w:r>
          </w:p>
          <w:p w:rsidR="00552FC3" w:rsidRPr="00062372" w:rsidRDefault="00552FC3" w:rsidP="00552FC3">
            <w:pPr>
              <w:pStyle w:val="ListParagraph"/>
              <w:ind w:left="-103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QS. Al-Baqarah; 185.</w:t>
            </w: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br/>
            </w: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id-ID"/>
              </w:rPr>
              <w:t>شَهْرُ رَمَضَانَ الَّذِي أُنْزِلَ فِيهِ الْقُرْآنُ هُدًى لِلنَّاسِ وَبَيِّنَاتٍ مِّنَ الْهُدَىٰ وَالْفُرْقَانِ ۚ فَمَن شَهِدَ مِنكُمُ الشَّهْرَ فَلْيَصُمْهُ ۖ وَمَن كَانَ مَرِيضًا أَوْ عَلَىٰ سَفَرٍ فَعِدَّةٌ مِّنْ أَيَّامٍ أُخَرَ ۗ يُرِيدُ اللَّهُ بِكُمُ الْيُسْرَ وَلَا يُرِيدُ بِكُمُ الْعُسْرَ وَلِتُكْمِلُوا الْعِدَّةَ وَلِتُكَبِّرُوا اللَّهَ عَلَىٰ مَا هَدَاكُمْ وَلَعَلَّكُمْ تَشْكُرُونَ</w:t>
            </w:r>
          </w:p>
          <w:p w:rsidR="00890704" w:rsidRPr="00062372" w:rsidRDefault="00890704" w:rsidP="00890704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Hadist:</w:t>
            </w:r>
          </w:p>
          <w:p w:rsidR="00890704" w:rsidRPr="00062372" w:rsidRDefault="00890704" w:rsidP="00890704">
            <w:pPr>
              <w:pStyle w:val="ListParagraph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“Berpuasalah kalian karena melihat hilal dan berbukalah karna melihat hilal. Jika hilal tertutup awan maka sempurnakanlah bulan sya’ban menjadi 30 hari.”</w:t>
            </w:r>
          </w:p>
          <w:p w:rsidR="00BE3AD0" w:rsidRPr="00062372" w:rsidRDefault="00890704" w:rsidP="0089070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(HR. Bukhari dan muslim)</w:t>
            </w:r>
          </w:p>
          <w:p w:rsidR="00890704" w:rsidRPr="00062372" w:rsidRDefault="00890704" w:rsidP="00890704">
            <w:pPr>
              <w:pStyle w:val="ListParagraph"/>
              <w:numPr>
                <w:ilvl w:val="0"/>
                <w:numId w:val="1"/>
              </w:numPr>
              <w:ind w:left="217" w:hanging="217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Kitab fiqih madzhab syafi’i</w:t>
            </w:r>
          </w:p>
          <w:p w:rsidR="00890704" w:rsidRPr="00062372" w:rsidRDefault="00890704" w:rsidP="00890704">
            <w:pPr>
              <w:pStyle w:val="ListParagraph"/>
              <w:ind w:left="75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lastRenderedPageBreak/>
              <w:t>Fathul qarib, fathul mu’in</w:t>
            </w:r>
          </w:p>
          <w:p w:rsidR="00890704" w:rsidRPr="00062372" w:rsidRDefault="00890704" w:rsidP="00890704">
            <w:pPr>
              <w:pStyle w:val="ListParagraph"/>
              <w:ind w:left="75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1703" w:type="dxa"/>
          </w:tcPr>
          <w:p w:rsidR="00890704" w:rsidRPr="00062372" w:rsidRDefault="00890704" w:rsidP="00890704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lastRenderedPageBreak/>
              <w:t>Dalil Al-Qur’an:</w:t>
            </w:r>
          </w:p>
          <w:p w:rsidR="00890704" w:rsidRPr="00062372" w:rsidRDefault="00890704" w:rsidP="0089070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QS. Yunus; 5</w:t>
            </w: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br/>
            </w: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id-ID"/>
              </w:rPr>
              <w:t>هُوَ الَّذِي جَعَلَ الشَّمْسَ ضِيَاءً وَالْقَمَرَ نُورًا وَقَدَّرَهُ مَنَازِلَ لِتَعْلَمُوا عَدَدَ السِّنِينَ وَالْحِسَابَ ۚ مَا خَلَقَ اللَّهُ ذَٰلِكَ إِلَّا بِالْحَقِّ ۚ يُفَصِّلُ الْآيَاتِ لِقَوْمٍ يَعْلَمُونَ</w:t>
            </w:r>
          </w:p>
          <w:p w:rsidR="00890704" w:rsidRPr="00062372" w:rsidRDefault="00890704" w:rsidP="00890704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Dalil Hadist:</w:t>
            </w:r>
          </w:p>
          <w:p w:rsidR="00890704" w:rsidRPr="00062372" w:rsidRDefault="00890704" w:rsidP="0089070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“kami adalah umat yang umm, tidak menulis dan tidak menghitung.”</w:t>
            </w:r>
          </w:p>
          <w:p w:rsidR="00BE3AD0" w:rsidRPr="00062372" w:rsidRDefault="00890704" w:rsidP="0089070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(HR. Bukhari dan muslim)</w:t>
            </w:r>
          </w:p>
          <w:p w:rsidR="00890704" w:rsidRPr="00062372" w:rsidRDefault="00890704" w:rsidP="00890704">
            <w:pPr>
              <w:pStyle w:val="ListParagraph"/>
              <w:ind w:left="177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918" w:type="dxa"/>
          </w:tcPr>
          <w:p w:rsidR="00BE3AD0" w:rsidRPr="00062372" w:rsidRDefault="0006237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6237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Kesimpulan analisis: Kedua pendapat memiliki dasar dalil yang sama dari Al-Qur’an dan hadis, tetapi berbeda dalam cara penerapannya. Rukyat menekankan pengamatan langsung, sedangkan hisab menekankan perhitungan ilmiah. Perbedaan ini termasuk perbedaan ijtihad ulama, sehingga keduanya tetap dianggap sah dalam fiqih Islam.</w:t>
            </w:r>
          </w:p>
        </w:tc>
      </w:tr>
    </w:tbl>
    <w:p w:rsidR="006D3B9A" w:rsidRDefault="006D3B9A" w:rsidP="00062372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:rsidR="006D3B9A" w:rsidRPr="002A065B" w:rsidRDefault="006D3B9A" w:rsidP="002A065B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bookmarkStart w:id="0" w:name="_GoBack"/>
      <w:bookmarkEnd w:id="0"/>
    </w:p>
    <w:sectPr w:rsidR="006D3B9A" w:rsidRPr="002A065B" w:rsidSect="00062372">
      <w:pgSz w:w="15840" w:h="12240" w:orient="landscape"/>
      <w:pgMar w:top="284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4C6" w:rsidRDefault="004914C6" w:rsidP="00CA5062">
      <w:pPr>
        <w:spacing w:after="0" w:line="240" w:lineRule="auto"/>
      </w:pPr>
      <w:r>
        <w:separator/>
      </w:r>
    </w:p>
  </w:endnote>
  <w:endnote w:type="continuationSeparator" w:id="0">
    <w:p w:rsidR="004914C6" w:rsidRDefault="004914C6" w:rsidP="00CA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4C6" w:rsidRDefault="004914C6" w:rsidP="00CA5062">
      <w:pPr>
        <w:spacing w:after="0" w:line="240" w:lineRule="auto"/>
      </w:pPr>
      <w:r>
        <w:separator/>
      </w:r>
    </w:p>
  </w:footnote>
  <w:footnote w:type="continuationSeparator" w:id="0">
    <w:p w:rsidR="004914C6" w:rsidRDefault="004914C6" w:rsidP="00CA5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56350"/>
    <w:multiLevelType w:val="hybridMultilevel"/>
    <w:tmpl w:val="60CE3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AD0"/>
    <w:rsid w:val="00062372"/>
    <w:rsid w:val="000E37A9"/>
    <w:rsid w:val="001E419D"/>
    <w:rsid w:val="002A065B"/>
    <w:rsid w:val="002E4CDE"/>
    <w:rsid w:val="00321B84"/>
    <w:rsid w:val="0034579B"/>
    <w:rsid w:val="00353DD5"/>
    <w:rsid w:val="00476484"/>
    <w:rsid w:val="004914C6"/>
    <w:rsid w:val="00523A66"/>
    <w:rsid w:val="00552FC3"/>
    <w:rsid w:val="006D3B9A"/>
    <w:rsid w:val="0087053B"/>
    <w:rsid w:val="00890704"/>
    <w:rsid w:val="00906827"/>
    <w:rsid w:val="009642FD"/>
    <w:rsid w:val="00A0098A"/>
    <w:rsid w:val="00A0737E"/>
    <w:rsid w:val="00A1561F"/>
    <w:rsid w:val="00B12C4B"/>
    <w:rsid w:val="00B8229E"/>
    <w:rsid w:val="00BE3AD0"/>
    <w:rsid w:val="00C74CC9"/>
    <w:rsid w:val="00CA5062"/>
    <w:rsid w:val="00D218BD"/>
    <w:rsid w:val="00E71433"/>
    <w:rsid w:val="00E8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C4A700F-D563-4741-83D9-C433F1FC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A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E41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2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2FC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06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06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50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D18F6-B3B1-4DA6-9034-F7E5C9AC2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2026-03-12T02:18:00Z</dcterms:created>
  <dcterms:modified xsi:type="dcterms:W3CDTF">2026-04-10T10:37:00Z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12e29bc6-3a2f-3f77-ad6a-9df9ae6edbc4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http://www.zotero.org/styles/chicago-fullnote-bibliography</vt:lpwstr>
  </property>
  <property fmtid="{D5CDD505-2E9C-101B-9397-08002B2CF9AE}" pid="16" name="Mendeley Recent Style Name 5_1">
    <vt:lpwstr>Chicago Manual of Style 17th edition (full note)</vt:lpwstr>
  </property>
  <property fmtid="{D5CDD505-2E9C-101B-9397-08002B2CF9AE}" pid="17" name="Mendeley Recent Style Id 6_1">
    <vt:lpwstr>http://www.zotero.org/styles/harvard-cite-them-right</vt:lpwstr>
  </property>
  <property fmtid="{D5CDD505-2E9C-101B-9397-08002B2CF9AE}" pid="18" name="Mendeley Recent Style Name 6_1">
    <vt:lpwstr>Cite Them Right 12th edition - Harvard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4th edition (note with bibliography)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