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427" w:rsidRPr="00373427" w:rsidRDefault="00373427" w:rsidP="00373427">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r w:rsidRPr="00373427">
        <w:rPr>
          <w:rFonts w:ascii="Times New Roman" w:eastAsia="Times New Roman" w:hAnsi="Times New Roman" w:cs="Times New Roman"/>
          <w:b/>
          <w:bCs/>
          <w:sz w:val="28"/>
          <w:szCs w:val="28"/>
          <w:lang w:val="id-ID"/>
        </w:rPr>
        <w:t>PENDAHULUAN</w:t>
      </w:r>
    </w:p>
    <w:p w:rsidR="00373427" w:rsidRPr="00373427" w:rsidRDefault="00373427" w:rsidP="00373427">
      <w:pPr>
        <w:spacing w:after="0" w:line="360" w:lineRule="auto"/>
        <w:ind w:firstLine="720"/>
        <w:jc w:val="both"/>
        <w:rPr>
          <w:rFonts w:ascii="Times New Roman" w:eastAsia="Times New Roman" w:hAnsi="Times New Roman" w:cs="Times New Roman"/>
          <w:noProof/>
          <w:sz w:val="24"/>
          <w:szCs w:val="24"/>
        </w:rPr>
      </w:pPr>
      <w:r w:rsidRPr="00373427">
        <w:rPr>
          <w:rFonts w:ascii="Times New Roman" w:eastAsia="Times New Roman" w:hAnsi="Times New Roman" w:cs="Times New Roman"/>
          <w:noProof/>
          <w:sz w:val="24"/>
          <w:szCs w:val="24"/>
          <w:lang w:val="id-ID"/>
        </w:rPr>
        <w:t>Penentuan awal bulan Hijriyah, khususnya pada bulan Ramadhan, Syawal, dan Dzulhijjah, merupakan isu yang memiliki urgensi tinggi dalam kehidupan umat Islam. Hal ini disebabkan ketiga bulan tersebut berkaitan langsung dengan pelaksanaan ibadah utama, seperti puasa Ramadhan, perayaan Idul Fitri, dan ibadah haji. Oleh karena itu, kepastian dalam penetapan awal bulan menjadi kebutuhan yang tidak dapat diabaikan. Upaya penyatuan kalender Hijriyah terus menjadi perhatian setiap tahun, terutama menjelang datangnya bulan-bulan penting tersebut. Fenomena ini menunjukkan bahwa kalender Hijriyah tidak hanya berfungsi sebagai sistem penanggalan, tetapi juga memiliki posisi strategis dalam mendukung pelaksanaan ibadah umat Islam secara kolektif. Selain itu, karena persoalan ini juga melibatkan ilmu astronomi sebagai alat bantu, kajian mengenai penentuan awal bulan menjadi semakin dinamis dan relevan seiring perkembangan il</w:t>
      </w:r>
      <w:r>
        <w:rPr>
          <w:rFonts w:ascii="Times New Roman" w:eastAsia="Times New Roman" w:hAnsi="Times New Roman" w:cs="Times New Roman"/>
          <w:noProof/>
          <w:sz w:val="24"/>
          <w:szCs w:val="24"/>
          <w:lang w:val="id-ID"/>
        </w:rPr>
        <w:t>mu pengetahuan</w:t>
      </w:r>
      <w:r w:rsidRPr="00373427">
        <w:rPr>
          <w:rFonts w:ascii="Times New Roman" w:eastAsia="Times New Roman" w:hAnsi="Times New Roman" w:cs="Times New Roman"/>
          <w:noProof/>
          <w:sz w:val="24"/>
          <w:szCs w:val="24"/>
          <w:lang w:val="id-ID"/>
        </w:rPr>
        <w:t>.</w:t>
      </w:r>
      <w:r>
        <w:rPr>
          <w:rFonts w:ascii="Times New Roman" w:eastAsia="Times New Roman" w:hAnsi="Times New Roman" w:cs="Times New Roman"/>
          <w:noProof/>
          <w:sz w:val="24"/>
          <w:szCs w:val="24"/>
        </w:rPr>
        <w:t xml:space="preserve"> </w:t>
      </w:r>
      <w:r>
        <w:rPr>
          <w:rStyle w:val="FootnoteReference"/>
          <w:rFonts w:ascii="Times New Roman" w:eastAsia="Times New Roman" w:hAnsi="Times New Roman" w:cs="Times New Roman"/>
          <w:noProof/>
          <w:sz w:val="24"/>
          <w:szCs w:val="24"/>
        </w:rPr>
        <w:fldChar w:fldCharType="begin" w:fldLock="1"/>
      </w:r>
      <w:r w:rsidR="00DF0D0D">
        <w:rPr>
          <w:rFonts w:ascii="Times New Roman" w:eastAsia="Times New Roman" w:hAnsi="Times New Roman" w:cs="Times New Roman"/>
          <w:noProof/>
          <w:sz w:val="24"/>
          <w:szCs w:val="24"/>
        </w:rPr>
        <w:instrText>ADDIN CSL_CITATION {"citationItems":[{"id":"ITEM-1","itemData":{"author":[{"dropping-particle":"","family":"Rofiuddin","given":"Ahmad Adib","non-dropping-particle":"","parse-names":false,"suffix":""}],"container-title":"Istinbath","id":"ITEM-1","issue":"2","issued":{"date-parts":[["2019"]]},"page":"233-254","title":"Dinamika Sosial Penentuan Awal Bulan Hijriah di Indonesia”, Istinbath: Jurnal Hukum dan Ekonomi Islam","type":"article-journal","volume":"18, No 2"},"uris":["http://www.mendeley.com/documents/?uuid=5fa772d9-58cc-41e5-a0ae-022b66b9757f"]}],"mendeley":{"formattedCitation":"(Rofiuddin 2019)","plainTextFormattedCitation":"(Rofiuddin 2019)","previouslyFormattedCitation":"(Rofiuddin 2019)"},"properties":{"noteIndex":0},"schema":"https://github.com/citation-style-language/schema/raw/master/csl-citation.json"}</w:instrText>
      </w:r>
      <w:r>
        <w:rPr>
          <w:rStyle w:val="FootnoteReference"/>
          <w:rFonts w:ascii="Times New Roman" w:eastAsia="Times New Roman" w:hAnsi="Times New Roman" w:cs="Times New Roman"/>
          <w:noProof/>
          <w:sz w:val="24"/>
          <w:szCs w:val="24"/>
        </w:rPr>
        <w:fldChar w:fldCharType="separate"/>
      </w:r>
      <w:r w:rsidRPr="00373427">
        <w:rPr>
          <w:rFonts w:ascii="Times New Roman" w:eastAsia="Times New Roman" w:hAnsi="Times New Roman" w:cs="Times New Roman"/>
          <w:noProof/>
          <w:sz w:val="24"/>
          <w:szCs w:val="24"/>
        </w:rPr>
        <w:t>(Rofiuddin 2019)</w:t>
      </w:r>
      <w:r>
        <w:rPr>
          <w:rStyle w:val="FootnoteReference"/>
          <w:rFonts w:ascii="Times New Roman" w:eastAsia="Times New Roman" w:hAnsi="Times New Roman" w:cs="Times New Roman"/>
          <w:noProof/>
          <w:sz w:val="24"/>
          <w:szCs w:val="24"/>
        </w:rPr>
        <w:fldChar w:fldCharType="end"/>
      </w:r>
    </w:p>
    <w:p w:rsidR="00373427" w:rsidRPr="00373427" w:rsidRDefault="00373427" w:rsidP="00373427">
      <w:pPr>
        <w:spacing w:after="0" w:line="360" w:lineRule="auto"/>
        <w:ind w:firstLine="720"/>
        <w:jc w:val="both"/>
        <w:rPr>
          <w:rFonts w:ascii="Times New Roman" w:eastAsia="Times New Roman" w:hAnsi="Times New Roman" w:cs="Times New Roman"/>
          <w:noProof/>
          <w:sz w:val="24"/>
          <w:szCs w:val="24"/>
          <w:lang w:val="id-ID"/>
        </w:rPr>
      </w:pPr>
      <w:r w:rsidRPr="00373427">
        <w:rPr>
          <w:rFonts w:ascii="Times New Roman" w:eastAsia="Times New Roman" w:hAnsi="Times New Roman" w:cs="Times New Roman"/>
          <w:noProof/>
          <w:sz w:val="24"/>
          <w:szCs w:val="24"/>
          <w:lang w:val="id-ID"/>
        </w:rPr>
        <w:t>Secara umum, terdapat dua metode utama yang digunakan dalam penentuan awal bulan Hijriyah, yaitu hisab dan rukyat. Metode hisab merupakan pendekatan berbasis perhitungan astronomi yang menggunakan data posisi benda langit untuk memprediksi kemunculan hilal. Dengan metode ini, penetapan awal bulan dapat dilakukan jauh hari sebelumny</w:t>
      </w:r>
      <w:r>
        <w:rPr>
          <w:rFonts w:ascii="Times New Roman" w:eastAsia="Times New Roman" w:hAnsi="Times New Roman" w:cs="Times New Roman"/>
          <w:noProof/>
          <w:sz w:val="24"/>
          <w:szCs w:val="24"/>
          <w:lang w:val="id-ID"/>
        </w:rPr>
        <w:t>a secara sistematis dan terukur</w:t>
      </w:r>
      <w:r>
        <w:rPr>
          <w:rFonts w:ascii="Times New Roman" w:eastAsia="Times New Roman" w:hAnsi="Times New Roman" w:cs="Times New Roman"/>
          <w:noProof/>
          <w:sz w:val="24"/>
          <w:szCs w:val="24"/>
        </w:rPr>
        <w:t xml:space="preserve">. </w:t>
      </w:r>
      <w:r w:rsidRPr="00373427">
        <w:rPr>
          <w:rFonts w:ascii="Times New Roman" w:eastAsia="Times New Roman" w:hAnsi="Times New Roman" w:cs="Times New Roman"/>
          <w:noProof/>
          <w:sz w:val="24"/>
          <w:szCs w:val="24"/>
          <w:lang w:val="id-ID"/>
        </w:rPr>
        <w:t>Di sisi lain, metode rukyat dilakukan melalui pengamatan langsung terhadap hilal setelah matahari terbenam pada hari ke-29 bulan berjalan. Apabila hilal terlihat, maka malam tersebut ditetapkan sebagai awal bulan baru, sedangkan jika tidak terlihat, bulan berjalan disempurnakan menjadi tiga p</w:t>
      </w:r>
      <w:r>
        <w:rPr>
          <w:rFonts w:ascii="Times New Roman" w:eastAsia="Times New Roman" w:hAnsi="Times New Roman" w:cs="Times New Roman"/>
          <w:noProof/>
          <w:sz w:val="24"/>
          <w:szCs w:val="24"/>
          <w:lang w:val="id-ID"/>
        </w:rPr>
        <w:t>uluh hari</w:t>
      </w:r>
      <w:r w:rsidRPr="00373427">
        <w:rPr>
          <w:rFonts w:ascii="Times New Roman" w:eastAsia="Times New Roman" w:hAnsi="Times New Roman" w:cs="Times New Roman"/>
          <w:noProof/>
          <w:sz w:val="24"/>
          <w:szCs w:val="24"/>
          <w:lang w:val="id-ID"/>
        </w:rPr>
        <w:t>.</w:t>
      </w:r>
    </w:p>
    <w:p w:rsidR="00373427" w:rsidRPr="00373427" w:rsidRDefault="00373427" w:rsidP="00DF0D0D">
      <w:pPr>
        <w:spacing w:after="0" w:line="360" w:lineRule="auto"/>
        <w:ind w:firstLine="720"/>
        <w:jc w:val="both"/>
        <w:rPr>
          <w:rFonts w:ascii="Times New Roman" w:eastAsia="Times New Roman" w:hAnsi="Times New Roman" w:cs="Times New Roman"/>
          <w:noProof/>
          <w:sz w:val="24"/>
          <w:szCs w:val="24"/>
        </w:rPr>
      </w:pPr>
      <w:r w:rsidRPr="00373427">
        <w:rPr>
          <w:rFonts w:ascii="Times New Roman" w:eastAsia="Times New Roman" w:hAnsi="Times New Roman" w:cs="Times New Roman"/>
          <w:noProof/>
          <w:sz w:val="24"/>
          <w:szCs w:val="24"/>
          <w:lang w:val="id-ID"/>
        </w:rPr>
        <w:t>Perbedaan dalam penggunaan metode hisab dan rukyat tidak terlepas dari adanya perbedaan penafsiran terhadap dalil-dalil syariat, baik yang bersumber dari Al-Qur'an maupun hadis. Keragaman interpretasi ini melahirkan berbagai pendekatan dalam praktik penentuan awal bulan Hijr</w:t>
      </w:r>
      <w:r>
        <w:rPr>
          <w:rFonts w:ascii="Times New Roman" w:eastAsia="Times New Roman" w:hAnsi="Times New Roman" w:cs="Times New Roman"/>
          <w:noProof/>
          <w:sz w:val="24"/>
          <w:szCs w:val="24"/>
          <w:lang w:val="id-ID"/>
        </w:rPr>
        <w:t>iyah di dunia Islam</w:t>
      </w:r>
      <w:r w:rsidRPr="00373427">
        <w:rPr>
          <w:rFonts w:ascii="Times New Roman" w:eastAsia="Times New Roman" w:hAnsi="Times New Roman" w:cs="Times New Roman"/>
          <w:noProof/>
          <w:sz w:val="24"/>
          <w:szCs w:val="24"/>
          <w:lang w:val="id-ID"/>
        </w:rPr>
        <w:t>. Dalam konteks Indonesia, perbedaan tersebut tampak nyata dalam praktik yang dilakukan oleh berbagai organisasi Islam, sehingga kerap menimbulkan perbedaan dalam penetapan awal bulan. Oleh karena itu, kajian komparatif terhadap metode penetapan awal bulan menjadi penting untuk memahami dinamika hukum Islam sekaligus mencari titik temu dalam up</w:t>
      </w:r>
      <w:r w:rsidR="00DF0D0D">
        <w:rPr>
          <w:rFonts w:ascii="Times New Roman" w:eastAsia="Times New Roman" w:hAnsi="Times New Roman" w:cs="Times New Roman"/>
          <w:noProof/>
          <w:sz w:val="24"/>
          <w:szCs w:val="24"/>
          <w:lang w:val="id-ID"/>
        </w:rPr>
        <w:t>aya penyatuan kalender Hijri</w:t>
      </w:r>
      <w:r w:rsidR="00DF0D0D">
        <w:rPr>
          <w:rFonts w:ascii="Times New Roman" w:eastAsia="Times New Roman" w:hAnsi="Times New Roman" w:cs="Times New Roman"/>
          <w:noProof/>
          <w:sz w:val="24"/>
          <w:szCs w:val="24"/>
        </w:rPr>
        <w:t xml:space="preserve">yah. </w:t>
      </w:r>
      <w:r w:rsidR="00DF0D0D">
        <w:rPr>
          <w:rFonts w:ascii="Times New Roman" w:eastAsia="Times New Roman" w:hAnsi="Times New Roman" w:cs="Times New Roman"/>
          <w:noProof/>
          <w:sz w:val="24"/>
          <w:szCs w:val="24"/>
        </w:rPr>
        <w:fldChar w:fldCharType="begin" w:fldLock="1"/>
      </w:r>
      <w:r w:rsidR="00DF0D0D">
        <w:rPr>
          <w:rFonts w:ascii="Times New Roman" w:eastAsia="Times New Roman" w:hAnsi="Times New Roman" w:cs="Times New Roman"/>
          <w:noProof/>
          <w:sz w:val="24"/>
          <w:szCs w:val="24"/>
        </w:rPr>
        <w:instrText>ADDIN CSL_CITATION {"citationItems":[{"id":"ITEM-1","itemData":{"abstract":"… mazhab dalam menentukan awal bulan Hijriah dengan … kebijakan berbeda dalam menentukan awal bulan Hijriah. Selain … awal bulan Hijriah tanpa mencakup aspek syar'i dan ilmiah. …","author":[{"dropping-particle":"","family":"Nasoha","given":"A M M","non-dropping-particle":"","parse-names":false,"suffix":""},{"dropping-particle":"","family":"Fikriyyah","given":"H","non-dropping-particle":"","parse-names":false,"suffix":""},{"dropping-particle":"","family":"Dewi","given":"W F","non-dropping-particle":"","parse-names":false,"suffix":""},{"dropping-particle":"","family":"...","given":"","non-dropping-particle":"","parse-names":false,"suffix":""}],"container-title":"LITERA: Jurnal …","id":"ITEM-1","issue":"3","issued":{"date-parts":[["2025"]]},"page":"290-301","title":"Perbedaan Madzhab dalam Menentukan Awal Bulan Hijriah: Studi Krisis atas Pendekatan Hisab dan Rukyah: The Difference in Schools of Thought in Determining …","type":"article-journal","volume":"2"},"uris":["http://www.mendeley.com/documents/?uuid=0a1215a8-5d4d-4f06-bb48-6abe65b54e44"]}],"mendeley":{"formattedCitation":"(Nasoha et al. 2025)","plainTextFormattedCitation":"(Nasoha et al. 2025)"},"properties":{"noteIndex":0},"schema":"https://github.com/citation-style-language/schema/raw/master/csl-citation.json"}</w:instrText>
      </w:r>
      <w:r w:rsidR="00DF0D0D">
        <w:rPr>
          <w:rFonts w:ascii="Times New Roman" w:eastAsia="Times New Roman" w:hAnsi="Times New Roman" w:cs="Times New Roman"/>
          <w:noProof/>
          <w:sz w:val="24"/>
          <w:szCs w:val="24"/>
        </w:rPr>
        <w:fldChar w:fldCharType="separate"/>
      </w:r>
      <w:r w:rsidR="00DF0D0D" w:rsidRPr="00DF0D0D">
        <w:rPr>
          <w:rFonts w:ascii="Times New Roman" w:eastAsia="Times New Roman" w:hAnsi="Times New Roman" w:cs="Times New Roman"/>
          <w:noProof/>
          <w:sz w:val="24"/>
          <w:szCs w:val="24"/>
        </w:rPr>
        <w:t>(Nasoha et al. 2025)</w:t>
      </w:r>
      <w:r w:rsidR="00DF0D0D">
        <w:rPr>
          <w:rFonts w:ascii="Times New Roman" w:eastAsia="Times New Roman" w:hAnsi="Times New Roman" w:cs="Times New Roman"/>
          <w:noProof/>
          <w:sz w:val="24"/>
          <w:szCs w:val="24"/>
        </w:rPr>
        <w:fldChar w:fldCharType="end"/>
      </w:r>
      <w:bookmarkStart w:id="0" w:name="_GoBack"/>
      <w:bookmarkEnd w:id="0"/>
    </w:p>
    <w:p w:rsidR="0087053B" w:rsidRDefault="0087053B"/>
    <w:sectPr w:rsidR="0087053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518F" w:rsidRDefault="00F6518F" w:rsidP="00373427">
      <w:pPr>
        <w:spacing w:after="0" w:line="240" w:lineRule="auto"/>
      </w:pPr>
      <w:r>
        <w:separator/>
      </w:r>
    </w:p>
  </w:endnote>
  <w:endnote w:type="continuationSeparator" w:id="0">
    <w:p w:rsidR="00F6518F" w:rsidRDefault="00F6518F" w:rsidP="00373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518F" w:rsidRDefault="00F6518F" w:rsidP="00373427">
      <w:pPr>
        <w:spacing w:after="0" w:line="240" w:lineRule="auto"/>
      </w:pPr>
      <w:r>
        <w:separator/>
      </w:r>
    </w:p>
  </w:footnote>
  <w:footnote w:type="continuationSeparator" w:id="0">
    <w:p w:rsidR="00F6518F" w:rsidRDefault="00F6518F" w:rsidP="003734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427"/>
    <w:rsid w:val="000E37A9"/>
    <w:rsid w:val="00321B84"/>
    <w:rsid w:val="0034579B"/>
    <w:rsid w:val="00353DD5"/>
    <w:rsid w:val="00373427"/>
    <w:rsid w:val="00523A66"/>
    <w:rsid w:val="0087053B"/>
    <w:rsid w:val="00A0098A"/>
    <w:rsid w:val="00A0737E"/>
    <w:rsid w:val="00A1561F"/>
    <w:rsid w:val="00B12C4B"/>
    <w:rsid w:val="00B8229E"/>
    <w:rsid w:val="00C74CC9"/>
    <w:rsid w:val="00D218BD"/>
    <w:rsid w:val="00DF0D0D"/>
    <w:rsid w:val="00E71433"/>
    <w:rsid w:val="00F65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7ED86B7-43FD-4672-9B44-1189C232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34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34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734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427"/>
    <w:rPr>
      <w:b/>
      <w:bCs/>
    </w:rPr>
  </w:style>
  <w:style w:type="paragraph" w:styleId="FootnoteText">
    <w:name w:val="footnote text"/>
    <w:basedOn w:val="Normal"/>
    <w:link w:val="FootnoteTextChar"/>
    <w:uiPriority w:val="99"/>
    <w:semiHidden/>
    <w:unhideWhenUsed/>
    <w:rsid w:val="003734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3427"/>
    <w:rPr>
      <w:sz w:val="20"/>
      <w:szCs w:val="20"/>
    </w:rPr>
  </w:style>
  <w:style w:type="character" w:styleId="FootnoteReference">
    <w:name w:val="footnote reference"/>
    <w:basedOn w:val="DefaultParagraphFont"/>
    <w:uiPriority w:val="99"/>
    <w:semiHidden/>
    <w:unhideWhenUsed/>
    <w:rsid w:val="003734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684468">
      <w:bodyDiv w:val="1"/>
      <w:marLeft w:val="0"/>
      <w:marRight w:val="0"/>
      <w:marTop w:val="0"/>
      <w:marBottom w:val="0"/>
      <w:divBdr>
        <w:top w:val="none" w:sz="0" w:space="0" w:color="auto"/>
        <w:left w:val="none" w:sz="0" w:space="0" w:color="auto"/>
        <w:bottom w:val="none" w:sz="0" w:space="0" w:color="auto"/>
        <w:right w:val="none" w:sz="0" w:space="0" w:color="auto"/>
      </w:divBdr>
    </w:div>
    <w:div w:id="76377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018A4-5D23-49C9-A1F5-8CCE16246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2026-04-02T12:26:00Z</dcterms:created>
  <dcterms:modified xsi:type="dcterms:W3CDTF">2026-04-02T12:39:00Z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12e29bc6-3a2f-3f77-ad6a-9df9ae6edbc4</vt:lpwstr>
  </property>
  <property fmtid="{D5CDD505-2E9C-101B-9397-08002B2CF9AE}" pid="4" name="Mendeley Citation Style_1">
    <vt:lpwstr>http://www.zotero.org/styles/american-sociological-association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