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FDE6" w14:textId="77777777" w:rsidR="009C57E1" w:rsidRPr="004D6DCA" w:rsidRDefault="009C57E1" w:rsidP="004D6DCA">
      <w:pPr>
        <w:jc w:val="both"/>
        <w:rPr>
          <w:rFonts w:ascii="Times New Roman" w:hAnsi="Times New Roman" w:cs="Times New Roman"/>
          <w:sz w:val="24"/>
          <w:szCs w:val="24"/>
        </w:rPr>
      </w:pPr>
      <w:proofErr w:type="spellStart"/>
      <w:r w:rsidRPr="004D6DCA">
        <w:rPr>
          <w:rFonts w:ascii="Times New Roman" w:hAnsi="Times New Roman" w:cs="Times New Roman"/>
          <w:sz w:val="24"/>
          <w:szCs w:val="24"/>
        </w:rPr>
        <w:t>Majlis</w:t>
      </w:r>
      <w:proofErr w:type="spellEnd"/>
      <w:r w:rsidRPr="004D6DCA">
        <w:rPr>
          <w:rFonts w:ascii="Times New Roman" w:hAnsi="Times New Roman" w:cs="Times New Roman"/>
          <w:sz w:val="24"/>
          <w:szCs w:val="24"/>
        </w:rPr>
        <w:t xml:space="preserve"> Tarjih adalah lembaga dalam organisasi Muhammadiyah yang tugasnya membantu menentukan hukum atau pendapat dalam ajaran Islam, terutama kalau ada perbedaan pendapat. Singkatnya, mereka ini kayak “tim ahli” yang mengkaji Al-</w:t>
      </w:r>
      <w:proofErr w:type="spellStart"/>
      <w:r w:rsidRPr="004D6DCA">
        <w:rPr>
          <w:rFonts w:ascii="Times New Roman" w:hAnsi="Times New Roman" w:cs="Times New Roman"/>
          <w:sz w:val="24"/>
          <w:szCs w:val="24"/>
        </w:rPr>
        <w:t>Qur’an</w:t>
      </w:r>
      <w:proofErr w:type="spellEnd"/>
      <w:r w:rsidRPr="004D6DCA">
        <w:rPr>
          <w:rFonts w:ascii="Times New Roman" w:hAnsi="Times New Roman" w:cs="Times New Roman"/>
          <w:sz w:val="24"/>
          <w:szCs w:val="24"/>
        </w:rPr>
        <w:t xml:space="preserve"> dan hadis supaya warga Muhammadiyah punya pedoman yang jelas dan tidak </w:t>
      </w:r>
      <w:proofErr w:type="spellStart"/>
      <w:r w:rsidRPr="004D6DCA">
        <w:rPr>
          <w:rFonts w:ascii="Times New Roman" w:hAnsi="Times New Roman" w:cs="Times New Roman"/>
          <w:sz w:val="24"/>
          <w:szCs w:val="24"/>
        </w:rPr>
        <w:t>bingung.Fungsinya</w:t>
      </w:r>
      <w:proofErr w:type="spellEnd"/>
      <w:r w:rsidRPr="004D6DCA">
        <w:rPr>
          <w:rFonts w:ascii="Times New Roman" w:hAnsi="Times New Roman" w:cs="Times New Roman"/>
          <w:sz w:val="24"/>
          <w:szCs w:val="24"/>
        </w:rPr>
        <w:t xml:space="preserve"> adalah memberikan keputusan atau fatwa tentang masalah keagamaan, baik yang sudah lama maupun yang baru muncul di zaman sekarang. Tujuannya supaya umat bisa menjalankan ajaran Islam dengan benar, lebih terarah, dan sesuai dengan sumber aslinya tanpa ikut-ikutan tradisi yang tidak jelas dasarnya.</w:t>
      </w:r>
    </w:p>
    <w:p w14:paraId="23523F1E" w14:textId="77777777" w:rsidR="009C57E1"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Tugasnya meliputi meneliti dalil dari Al-</w:t>
      </w:r>
      <w:proofErr w:type="spellStart"/>
      <w:r w:rsidRPr="004D6DCA">
        <w:rPr>
          <w:rFonts w:ascii="Times New Roman" w:hAnsi="Times New Roman" w:cs="Times New Roman"/>
          <w:sz w:val="24"/>
          <w:szCs w:val="24"/>
        </w:rPr>
        <w:t>Qur’an</w:t>
      </w:r>
      <w:proofErr w:type="spellEnd"/>
      <w:r w:rsidRPr="004D6DCA">
        <w:rPr>
          <w:rFonts w:ascii="Times New Roman" w:hAnsi="Times New Roman" w:cs="Times New Roman"/>
          <w:sz w:val="24"/>
          <w:szCs w:val="24"/>
        </w:rPr>
        <w:t xml:space="preserve"> dan hadis, membahas masalah ibadah dan kehidupan sehari-hari, lalu menetapkan hasilnya dalam bentuk keputusan atau tuntunan. Mereka juga sering mengkaji isu-isu modern, misalnya soal teknologi, kesehatan, atau sosial, dilihat dari sudut pandang Islam.</w:t>
      </w:r>
    </w:p>
    <w:p w14:paraId="254C1E38" w14:textId="77777777" w:rsidR="009C57E1"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 xml:space="preserve">Latar belakang berdirinya </w:t>
      </w:r>
      <w:proofErr w:type="spellStart"/>
      <w:r w:rsidRPr="004D6DCA">
        <w:rPr>
          <w:rFonts w:ascii="Times New Roman" w:hAnsi="Times New Roman" w:cs="Times New Roman"/>
          <w:sz w:val="24"/>
          <w:szCs w:val="24"/>
        </w:rPr>
        <w:t>Majlis</w:t>
      </w:r>
      <w:proofErr w:type="spellEnd"/>
      <w:r w:rsidRPr="004D6DCA">
        <w:rPr>
          <w:rFonts w:ascii="Times New Roman" w:hAnsi="Times New Roman" w:cs="Times New Roman"/>
          <w:sz w:val="24"/>
          <w:szCs w:val="24"/>
        </w:rPr>
        <w:t xml:space="preserve"> Tarjih ini karena dulu banyak perbedaan praktik ibadah di masyarakat, jadi Muhammadiyah merasa perlu ada lembaga khusus yang mengkaji dan memilih pendapat yang paling kuat berdasarkan dalil. Dengan begitu, umat tidak terpecah dan punya pegangan yang lebih pasti. Secara historis disebutkan, pembentukan lembaga ini (tahun 1928) dilatar belakangi oleh adanya </w:t>
      </w:r>
      <w:proofErr w:type="spellStart"/>
      <w:r w:rsidRPr="004D6DCA">
        <w:rPr>
          <w:rFonts w:ascii="Times New Roman" w:hAnsi="Times New Roman" w:cs="Times New Roman"/>
          <w:sz w:val="24"/>
          <w:szCs w:val="24"/>
        </w:rPr>
        <w:t>khilafiyah</w:t>
      </w:r>
      <w:proofErr w:type="spellEnd"/>
      <w:r w:rsidRPr="004D6DCA">
        <w:rPr>
          <w:rFonts w:ascii="Times New Roman" w:hAnsi="Times New Roman" w:cs="Times New Roman"/>
          <w:sz w:val="24"/>
          <w:szCs w:val="24"/>
        </w:rPr>
        <w:t xml:space="preserve"> antar warga Muhammadiyah tentang praktik keagamaan yang berujung pada perselisihan. Karena itu, dipandang perlu membuat lembaga yang khusus menangani masalah agama untuk memberi kepastian hukum dan menjadi putusan resmi organisasi dalam pelaksanaan ibadah. Hal ini dimaksudkan untuk menghindari terjadinya perpecahan dan juga fitnah secara meluas antar warga dalam </w:t>
      </w:r>
      <w:proofErr w:type="spellStart"/>
      <w:r w:rsidRPr="004D6DCA">
        <w:rPr>
          <w:rFonts w:ascii="Times New Roman" w:hAnsi="Times New Roman" w:cs="Times New Roman"/>
          <w:sz w:val="24"/>
          <w:szCs w:val="24"/>
        </w:rPr>
        <w:t>persyarikatan</w:t>
      </w:r>
      <w:proofErr w:type="spellEnd"/>
      <w:r w:rsidRPr="004D6DCA">
        <w:rPr>
          <w:rFonts w:ascii="Times New Roman" w:hAnsi="Times New Roman" w:cs="Times New Roman"/>
          <w:sz w:val="24"/>
          <w:szCs w:val="24"/>
        </w:rPr>
        <w:t xml:space="preserve"> ketika itu.</w:t>
      </w:r>
      <w:r w:rsidR="003E7466">
        <w:rPr>
          <w:rStyle w:val="ReferensiCatatanKaki"/>
          <w:rFonts w:ascii="Times New Roman" w:hAnsi="Times New Roman" w:cs="Times New Roman"/>
          <w:sz w:val="24"/>
          <w:szCs w:val="24"/>
        </w:rPr>
        <w:footnoteReference w:id="1"/>
      </w:r>
    </w:p>
    <w:p w14:paraId="74300649" w14:textId="77777777" w:rsidR="00245ACD" w:rsidRPr="00245ACD" w:rsidRDefault="00245ACD" w:rsidP="00245ACD">
      <w:pPr>
        <w:pStyle w:val="DaftarParagraf"/>
        <w:jc w:val="both"/>
        <w:rPr>
          <w:rFonts w:ascii="Times New Roman" w:hAnsi="Times New Roman" w:cs="Times New Roman"/>
          <w:sz w:val="24"/>
          <w:szCs w:val="24"/>
        </w:rPr>
      </w:pPr>
    </w:p>
    <w:p w14:paraId="716E0458" w14:textId="77777777" w:rsidR="009C57E1"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 xml:space="preserve">LBNU (Lembaga </w:t>
      </w:r>
      <w:proofErr w:type="spellStart"/>
      <w:r w:rsidRPr="004D6DCA">
        <w:rPr>
          <w:rFonts w:ascii="Times New Roman" w:hAnsi="Times New Roman" w:cs="Times New Roman"/>
          <w:sz w:val="24"/>
          <w:szCs w:val="24"/>
        </w:rPr>
        <w:t>Bahtsul</w:t>
      </w:r>
      <w:proofErr w:type="spellEnd"/>
      <w:r w:rsidRPr="004D6DCA">
        <w:rPr>
          <w:rFonts w:ascii="Times New Roman" w:hAnsi="Times New Roman" w:cs="Times New Roman"/>
          <w:sz w:val="24"/>
          <w:szCs w:val="24"/>
        </w:rPr>
        <w:t xml:space="preserve"> </w:t>
      </w:r>
      <w:proofErr w:type="spellStart"/>
      <w:r w:rsidRPr="004D6DCA">
        <w:rPr>
          <w:rFonts w:ascii="Times New Roman" w:hAnsi="Times New Roman" w:cs="Times New Roman"/>
          <w:sz w:val="24"/>
          <w:szCs w:val="24"/>
        </w:rPr>
        <w:t>Masail</w:t>
      </w:r>
      <w:proofErr w:type="spellEnd"/>
      <w:r w:rsidRPr="004D6DCA">
        <w:rPr>
          <w:rFonts w:ascii="Times New Roman" w:hAnsi="Times New Roman" w:cs="Times New Roman"/>
          <w:sz w:val="24"/>
          <w:szCs w:val="24"/>
        </w:rPr>
        <w:t xml:space="preserve"> </w:t>
      </w:r>
      <w:proofErr w:type="spellStart"/>
      <w:r w:rsidRPr="004D6DCA">
        <w:rPr>
          <w:rFonts w:ascii="Times New Roman" w:hAnsi="Times New Roman" w:cs="Times New Roman"/>
          <w:sz w:val="24"/>
          <w:szCs w:val="24"/>
        </w:rPr>
        <w:t>Nahdlatul</w:t>
      </w:r>
      <w:proofErr w:type="spellEnd"/>
      <w:r w:rsidRPr="004D6DCA">
        <w:rPr>
          <w:rFonts w:ascii="Times New Roman" w:hAnsi="Times New Roman" w:cs="Times New Roman"/>
          <w:sz w:val="24"/>
          <w:szCs w:val="24"/>
        </w:rPr>
        <w:t xml:space="preserve"> Ulama) adalah salah satu lembaga di dalam organisasi </w:t>
      </w:r>
      <w:proofErr w:type="spellStart"/>
      <w:r w:rsidRPr="004D6DCA">
        <w:rPr>
          <w:rFonts w:ascii="Times New Roman" w:hAnsi="Times New Roman" w:cs="Times New Roman"/>
          <w:sz w:val="24"/>
          <w:szCs w:val="24"/>
        </w:rPr>
        <w:t>Nahdlatul</w:t>
      </w:r>
      <w:proofErr w:type="spellEnd"/>
      <w:r w:rsidRPr="004D6DCA">
        <w:rPr>
          <w:rFonts w:ascii="Times New Roman" w:hAnsi="Times New Roman" w:cs="Times New Roman"/>
          <w:sz w:val="24"/>
          <w:szCs w:val="24"/>
        </w:rPr>
        <w:t xml:space="preserve"> Ulama yang fokusnya membahas masalah-masalah keagamaan, khususnya yang belum jelas hukumnya. Jadi, kalau ada persoalan baru di masyarakat (misalnya soal teknologi, ekonomi, atau sosial) dan butuh pandangan hukum Islam, LBNU ini yang mengkaji dan memberi jawaban berdasarkan kitab-kitab ulama klasik (kitab kuning).</w:t>
      </w:r>
    </w:p>
    <w:p w14:paraId="24A99E7A" w14:textId="77777777" w:rsidR="009C57E1"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Fungsi dan tujuannya adalah membantu umat Islam supaya punya pedoman yang jelas dalam menjalani kehidupan sehari-hari sesuai ajaran Islam, tapi tetap relevan dengan perkembangan zaman. LBNU juga jadi tempat diskusi para kiai dan ulama untuk mencari solusi terbaik dari berbagai masalah yang muncul di masyarakat.</w:t>
      </w:r>
    </w:p>
    <w:p w14:paraId="1A318790" w14:textId="77777777" w:rsidR="009C57E1"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Tugasnya antara lain mengkaji, membahas, dan menetapkan hukum dari persoalan-persoalan baru, serta memberikan rekomendasi ke masyarakat atau pemerintah jika diperlukan. Mereka biasanya mengadakan forum yang disebut “</w:t>
      </w:r>
      <w:proofErr w:type="spellStart"/>
      <w:r w:rsidRPr="004D6DCA">
        <w:rPr>
          <w:rFonts w:ascii="Times New Roman" w:hAnsi="Times New Roman" w:cs="Times New Roman"/>
          <w:sz w:val="24"/>
          <w:szCs w:val="24"/>
        </w:rPr>
        <w:t>bahtsul</w:t>
      </w:r>
      <w:proofErr w:type="spellEnd"/>
      <w:r w:rsidRPr="004D6DCA">
        <w:rPr>
          <w:rFonts w:ascii="Times New Roman" w:hAnsi="Times New Roman" w:cs="Times New Roman"/>
          <w:sz w:val="24"/>
          <w:szCs w:val="24"/>
        </w:rPr>
        <w:t xml:space="preserve"> </w:t>
      </w:r>
      <w:proofErr w:type="spellStart"/>
      <w:r w:rsidRPr="004D6DCA">
        <w:rPr>
          <w:rFonts w:ascii="Times New Roman" w:hAnsi="Times New Roman" w:cs="Times New Roman"/>
          <w:sz w:val="24"/>
          <w:szCs w:val="24"/>
        </w:rPr>
        <w:t>masail</w:t>
      </w:r>
      <w:proofErr w:type="spellEnd"/>
      <w:r w:rsidRPr="004D6DCA">
        <w:rPr>
          <w:rFonts w:ascii="Times New Roman" w:hAnsi="Times New Roman" w:cs="Times New Roman"/>
          <w:sz w:val="24"/>
          <w:szCs w:val="24"/>
        </w:rPr>
        <w:t>” (diskusi keagamaan) untuk menghasilkan keputusan bersama.</w:t>
      </w:r>
    </w:p>
    <w:p w14:paraId="792A5F99" w14:textId="77777777" w:rsidR="00BA292B" w:rsidRPr="004D6DCA" w:rsidRDefault="009C57E1" w:rsidP="004D6DCA">
      <w:pPr>
        <w:jc w:val="both"/>
        <w:rPr>
          <w:rFonts w:ascii="Times New Roman" w:hAnsi="Times New Roman" w:cs="Times New Roman"/>
          <w:sz w:val="24"/>
          <w:szCs w:val="24"/>
        </w:rPr>
      </w:pPr>
      <w:r w:rsidRPr="004D6DCA">
        <w:rPr>
          <w:rFonts w:ascii="Times New Roman" w:hAnsi="Times New Roman" w:cs="Times New Roman"/>
          <w:sz w:val="24"/>
          <w:szCs w:val="24"/>
        </w:rPr>
        <w:t xml:space="preserve">Latar belakang berdirinya LBNU karena semakin berkembangnya zaman, makin banyak masalah baru yang tidak langsung ditemukan jawabannya di kitab-kitab lama. Maka dari itu, </w:t>
      </w:r>
      <w:r w:rsidRPr="004D6DCA">
        <w:rPr>
          <w:rFonts w:ascii="Times New Roman" w:hAnsi="Times New Roman" w:cs="Times New Roman"/>
          <w:sz w:val="24"/>
          <w:szCs w:val="24"/>
        </w:rPr>
        <w:lastRenderedPageBreak/>
        <w:t>para ulama di NU merasa perlu ada lembaga khusus yang fokus membahas hal-hal tersebut supaya umat tidak bingung dan tetap punya pegangan yang jelas.</w:t>
      </w:r>
      <w:r w:rsidR="004D6DCA">
        <w:rPr>
          <w:rStyle w:val="ReferensiCatatanKaki"/>
          <w:rFonts w:ascii="Times New Roman" w:hAnsi="Times New Roman" w:cs="Times New Roman"/>
          <w:sz w:val="24"/>
          <w:szCs w:val="24"/>
        </w:rPr>
        <w:footnoteReference w:id="2"/>
      </w:r>
    </w:p>
    <w:p w14:paraId="69A26AF0" w14:textId="77777777" w:rsidR="00BA292B" w:rsidRPr="00BA292B" w:rsidRDefault="00BA292B" w:rsidP="00245ACD">
      <w:pPr>
        <w:pStyle w:val="DaftarParagraf"/>
        <w:jc w:val="both"/>
        <w:rPr>
          <w:rFonts w:ascii="Times New Roman" w:hAnsi="Times New Roman" w:cs="Times New Roman"/>
          <w:sz w:val="24"/>
          <w:szCs w:val="24"/>
        </w:rPr>
      </w:pPr>
    </w:p>
    <w:p w14:paraId="16ED6ADB" w14:textId="77777777" w:rsidR="00BA292B" w:rsidRPr="004D6DCA" w:rsidRDefault="00BA292B" w:rsidP="004D6DCA">
      <w:pPr>
        <w:jc w:val="both"/>
        <w:rPr>
          <w:rFonts w:ascii="Times New Roman" w:hAnsi="Times New Roman" w:cs="Times New Roman"/>
          <w:sz w:val="24"/>
          <w:szCs w:val="24"/>
        </w:rPr>
      </w:pPr>
      <w:proofErr w:type="spellStart"/>
      <w:r w:rsidRPr="004D6DCA">
        <w:rPr>
          <w:rFonts w:ascii="Times New Roman" w:hAnsi="Times New Roman" w:cs="Times New Roman"/>
          <w:sz w:val="24"/>
          <w:szCs w:val="24"/>
        </w:rPr>
        <w:t>Rukyatul</w:t>
      </w:r>
      <w:proofErr w:type="spellEnd"/>
      <w:r w:rsidRPr="004D6DCA">
        <w:rPr>
          <w:rFonts w:ascii="Times New Roman" w:hAnsi="Times New Roman" w:cs="Times New Roman"/>
          <w:sz w:val="24"/>
          <w:szCs w:val="24"/>
        </w:rPr>
        <w:t xml:space="preserve"> hilal adalah cara menentukan awal bulan dalam kalender Islam dengan melihat langsung bulan sabit tipis pertama (hilal) setelah matahari terbenam. Jadi, orang-orang akan mengamati langit di sore hari menjelang malam untuk memastikan apakah hilal sudah terlihat atau belum. Kalau sudah terlihat, berarti besok sudah masuk bulan baru (misalnya Ramadan atau Syawal). Kriterianya biasanya dilihat dari posisi bulan, seperti tinggi bulan di atas horizon, jarak sudutnya dari matahari, dan apakah cahayanya cukup terang untuk bisa dilihat. Kalau belum memenuhi kriteria atau tidak terlihat, maka bulan berjalan digenapkan jadi 30 hari.</w:t>
      </w:r>
      <w:r w:rsidR="004D6DCA">
        <w:rPr>
          <w:rStyle w:val="ReferensiCatatanKaki"/>
          <w:rFonts w:ascii="Times New Roman" w:hAnsi="Times New Roman" w:cs="Times New Roman"/>
          <w:sz w:val="24"/>
          <w:szCs w:val="24"/>
        </w:rPr>
        <w:footnoteReference w:id="3"/>
      </w:r>
    </w:p>
    <w:p w14:paraId="2D291C17" w14:textId="77777777" w:rsidR="00245ACD" w:rsidRDefault="00BA292B" w:rsidP="004D6DCA">
      <w:pPr>
        <w:pStyle w:val="NormalWeb"/>
        <w:jc w:val="both"/>
      </w:pPr>
      <w:r>
        <w:t xml:space="preserve">Hisab adalah cara menentukan awal bulan dalam kalender Islam dengan perhitungan astronomi, jadi </w:t>
      </w:r>
      <w:proofErr w:type="spellStart"/>
      <w:r>
        <w:t>nggak</w:t>
      </w:r>
      <w:proofErr w:type="spellEnd"/>
      <w:r>
        <w:t xml:space="preserve"> perlu </w:t>
      </w:r>
      <w:proofErr w:type="spellStart"/>
      <w:r>
        <w:t>nunggu</w:t>
      </w:r>
      <w:proofErr w:type="spellEnd"/>
      <w:r>
        <w:t xml:space="preserve"> melihat bulan langsung. Para ahli menghitung posisi bulan dan matahari secara matematis untuk tahu apakah bulan baru sudah “muncul” atau belum. Kriterianya biasanya dilihat dari tinggi bulan saat matahari terbenam, jarak sudut antara bulan dan matahari, serta umur bulan sejak fase bulan baru. Kalau hasil hitungannya sudah memenuhi batas tertentu, maka dianggap sudah masuk bulan baru.</w:t>
      </w:r>
      <w:r w:rsidR="004D6DCA">
        <w:rPr>
          <w:rStyle w:val="ReferensiCatatanKaki"/>
        </w:rPr>
        <w:footnoteReference w:id="4"/>
      </w:r>
    </w:p>
    <w:p w14:paraId="1D27719A" w14:textId="77777777" w:rsidR="00BA292B" w:rsidRDefault="00BA292B" w:rsidP="004D6DCA">
      <w:pPr>
        <w:pStyle w:val="NormalWeb"/>
        <w:jc w:val="both"/>
      </w:pPr>
      <w:r w:rsidRPr="00BA292B">
        <w:rPr>
          <w:sz w:val="27"/>
          <w:szCs w:val="27"/>
        </w:rPr>
        <w:t>Perbedaan metode LBNU dan Majelis Tarjih</w:t>
      </w:r>
      <w:r w:rsidRPr="00BA292B">
        <w:rPr>
          <w:b/>
          <w:bCs/>
          <w:sz w:val="27"/>
          <w:szCs w:val="27"/>
        </w:rPr>
        <w:t xml:space="preserve"> </w:t>
      </w:r>
      <w:r w:rsidRPr="00BA292B">
        <w:t xml:space="preserve">Metode Lembaga </w:t>
      </w:r>
      <w:proofErr w:type="spellStart"/>
      <w:r w:rsidRPr="00BA292B">
        <w:t>Bahtsul</w:t>
      </w:r>
      <w:proofErr w:type="spellEnd"/>
      <w:r w:rsidRPr="00BA292B">
        <w:t xml:space="preserve"> </w:t>
      </w:r>
      <w:proofErr w:type="spellStart"/>
      <w:r w:rsidRPr="00BA292B">
        <w:t>Masail</w:t>
      </w:r>
      <w:proofErr w:type="spellEnd"/>
      <w:r w:rsidRPr="00BA292B">
        <w:t xml:space="preserve"> </w:t>
      </w:r>
      <w:proofErr w:type="spellStart"/>
      <w:r w:rsidRPr="00BA292B">
        <w:t>Nahdlatul</w:t>
      </w:r>
      <w:proofErr w:type="spellEnd"/>
      <w:r w:rsidRPr="00BA292B">
        <w:t xml:space="preserve"> Ulama (LBNU) dalam menentukan awal bulan lebih mengutamakan </w:t>
      </w:r>
      <w:proofErr w:type="spellStart"/>
      <w:r w:rsidRPr="00BA292B">
        <w:t>rukyatul</w:t>
      </w:r>
      <w:proofErr w:type="spellEnd"/>
      <w:r w:rsidRPr="00BA292B">
        <w:t xml:space="preserve"> hilal (melihat bulan langsung). Hisab (perhitungan) tetap dipakai, tapi hanya sebagai alat bantu, bukan penentu utama. Jadi kalau hilal tidak terlihat, biasanya bulan digenapkan 30 hari. Metode ini sejalan dengan pendapat ulama klasik seperti Imam </w:t>
      </w:r>
      <w:proofErr w:type="spellStart"/>
      <w:r w:rsidRPr="00BA292B">
        <w:t>Syafi’i</w:t>
      </w:r>
      <w:proofErr w:type="spellEnd"/>
      <w:r w:rsidRPr="00BA292B">
        <w:t xml:space="preserve"> dan Imam Malik yang menekankan rukyat.</w:t>
      </w:r>
      <w:r>
        <w:t xml:space="preserve"> </w:t>
      </w:r>
      <w:r w:rsidRPr="00BA292B">
        <w:t xml:space="preserve">Sedangkan Majelis Tarjih dan Tajdid Muhammadiyah lebih mengutamakan hisab sebagai penentu utama, tanpa harus menunggu rukyat. Mereka memakai kriteria tertentu (seperti </w:t>
      </w:r>
      <w:proofErr w:type="spellStart"/>
      <w:r w:rsidRPr="00BA292B">
        <w:t>wujudul</w:t>
      </w:r>
      <w:proofErr w:type="spellEnd"/>
      <w:r w:rsidRPr="00BA292B">
        <w:t xml:space="preserve"> hilal) berdasarkan hasil perhitungan. Metode ini lebih dekat dengan pendekatan rasional seperti yang pernah digunakan oleh Ibnu Sina atau Al-</w:t>
      </w:r>
      <w:proofErr w:type="spellStart"/>
      <w:r w:rsidRPr="00BA292B">
        <w:t>Biruni</w:t>
      </w:r>
      <w:proofErr w:type="spellEnd"/>
      <w:r w:rsidRPr="00BA292B">
        <w:t xml:space="preserve"> dalam bidang astronomi.</w:t>
      </w:r>
    </w:p>
    <w:p w14:paraId="0D3DF338" w14:textId="77777777" w:rsidR="00245ACD" w:rsidRPr="00245ACD" w:rsidRDefault="00245ACD" w:rsidP="004D6DCA">
      <w:pPr>
        <w:outlineLvl w:val="2"/>
        <w:rPr>
          <w:lang w:bidi="ar-SA"/>
        </w:rPr>
      </w:pPr>
      <w:r w:rsidRPr="004D6DCA">
        <w:rPr>
          <w:rFonts w:ascii="Times New Roman" w:eastAsia="Times New Roman" w:hAnsi="Times New Roman" w:cs="Times New Roman"/>
          <w:sz w:val="27"/>
          <w:szCs w:val="27"/>
          <w:lang w:eastAsia="id-ID" w:bidi="ar-SA"/>
        </w:rPr>
        <w:t xml:space="preserve">Persamaan metode LBNU dan Majelis Tarjih. </w:t>
      </w:r>
      <w:r w:rsidRPr="004D6DCA">
        <w:rPr>
          <w:rFonts w:ascii="Times New Roman" w:eastAsia="Times New Roman" w:hAnsi="Times New Roman" w:cs="Times New Roman"/>
          <w:sz w:val="24"/>
          <w:szCs w:val="24"/>
          <w:lang w:eastAsia="id-ID" w:bidi="ar-SA"/>
        </w:rPr>
        <w:t>Walaupun berbeda cara, keduanya sama-sama bertujuan menentukan awal bulan Hijriyah dengan dasar ilmu falak (astronomi Islam). Keduanya juga sama-sama mempertimbangkan posisi bulan dan matahari, hanya saja cara penggunaannya yang berbeda (LBNU pakai rukyat utama, Muhammadiyah pakai hisab utama). Selain itu, keduanya tetap berpegang pada sumber ajaran Islam (Al-</w:t>
      </w:r>
      <w:proofErr w:type="spellStart"/>
      <w:r w:rsidRPr="004D6DCA">
        <w:rPr>
          <w:rFonts w:ascii="Times New Roman" w:eastAsia="Times New Roman" w:hAnsi="Times New Roman" w:cs="Times New Roman"/>
          <w:sz w:val="24"/>
          <w:szCs w:val="24"/>
          <w:lang w:eastAsia="id-ID" w:bidi="ar-SA"/>
        </w:rPr>
        <w:t>Qur’an</w:t>
      </w:r>
      <w:proofErr w:type="spellEnd"/>
      <w:r w:rsidRPr="004D6DCA">
        <w:rPr>
          <w:rFonts w:ascii="Times New Roman" w:eastAsia="Times New Roman" w:hAnsi="Times New Roman" w:cs="Times New Roman"/>
          <w:sz w:val="24"/>
          <w:szCs w:val="24"/>
          <w:lang w:eastAsia="id-ID" w:bidi="ar-SA"/>
        </w:rPr>
        <w:t xml:space="preserve"> dan hadis). </w:t>
      </w:r>
      <w:r w:rsidRPr="00245ACD">
        <w:rPr>
          <w:lang w:bidi="ar-SA"/>
        </w:rPr>
        <w:t xml:space="preserve">Ulama yang juga menggabungkan atau mempertimbangkan dua pendekatan ini misalnya </w:t>
      </w:r>
      <w:r w:rsidRPr="004D6DCA">
        <w:rPr>
          <w:rFonts w:eastAsia="Times New Roman"/>
          <w:lang w:bidi="ar-SA"/>
        </w:rPr>
        <w:t xml:space="preserve">Ibnu </w:t>
      </w:r>
      <w:proofErr w:type="spellStart"/>
      <w:r w:rsidRPr="004D6DCA">
        <w:rPr>
          <w:rFonts w:eastAsia="Times New Roman"/>
          <w:lang w:bidi="ar-SA"/>
        </w:rPr>
        <w:t>Taimiyah</w:t>
      </w:r>
      <w:proofErr w:type="spellEnd"/>
      <w:r w:rsidRPr="00245ACD">
        <w:rPr>
          <w:lang w:bidi="ar-SA"/>
        </w:rPr>
        <w:t xml:space="preserve"> yang membahas rukyat tapi juga tidak menolak peran perhitungan sebagai pendukung.</w:t>
      </w:r>
    </w:p>
    <w:p w14:paraId="1CA86FC1" w14:textId="77777777" w:rsidR="00BA292B" w:rsidRPr="00245ACD" w:rsidRDefault="00BA292B" w:rsidP="00245ACD">
      <w:pPr>
        <w:spacing w:before="100" w:beforeAutospacing="1" w:after="100" w:afterAutospacing="1" w:line="240" w:lineRule="auto"/>
        <w:ind w:left="284"/>
        <w:outlineLvl w:val="2"/>
        <w:rPr>
          <w:rFonts w:ascii="Times New Roman" w:eastAsia="Times New Roman" w:hAnsi="Times New Roman" w:cs="Times New Roman"/>
          <w:b/>
          <w:bCs/>
          <w:sz w:val="27"/>
          <w:szCs w:val="27"/>
          <w:lang w:eastAsia="id-ID" w:bidi="ar-SA"/>
        </w:rPr>
      </w:pPr>
    </w:p>
    <w:p w14:paraId="04D412BD" w14:textId="77777777" w:rsidR="009C57E1" w:rsidRPr="009C57E1" w:rsidRDefault="009C57E1" w:rsidP="009C57E1">
      <w:pPr>
        <w:rPr>
          <w:rFonts w:ascii="Times New Roman" w:hAnsi="Times New Roman" w:cs="Times New Roman"/>
          <w:vanish/>
          <w:sz w:val="24"/>
          <w:szCs w:val="24"/>
        </w:rPr>
      </w:pPr>
      <w:r w:rsidRPr="009C57E1">
        <w:rPr>
          <w:rFonts w:ascii="Times New Roman" w:hAnsi="Times New Roman" w:cs="Times New Roman"/>
          <w:vanish/>
          <w:sz w:val="24"/>
          <w:szCs w:val="24"/>
        </w:rPr>
        <w:t>Bagian Atas Formulir</w:t>
      </w:r>
    </w:p>
    <w:p w14:paraId="56DF850C" w14:textId="77777777" w:rsidR="009C57E1" w:rsidRPr="009C57E1" w:rsidRDefault="009C57E1" w:rsidP="009C57E1">
      <w:pPr>
        <w:rPr>
          <w:rFonts w:ascii="Times New Roman" w:hAnsi="Times New Roman" w:cs="Times New Roman"/>
          <w:sz w:val="24"/>
          <w:szCs w:val="24"/>
        </w:rPr>
      </w:pPr>
    </w:p>
    <w:p w14:paraId="57FFF387" w14:textId="77777777" w:rsidR="009C57E1" w:rsidRPr="009C57E1" w:rsidRDefault="009C57E1" w:rsidP="009C57E1">
      <w:pPr>
        <w:rPr>
          <w:rFonts w:ascii="Times New Roman" w:hAnsi="Times New Roman" w:cs="Times New Roman"/>
          <w:vanish/>
          <w:sz w:val="24"/>
          <w:szCs w:val="24"/>
        </w:rPr>
      </w:pPr>
      <w:r w:rsidRPr="009C57E1">
        <w:rPr>
          <w:rFonts w:ascii="Times New Roman" w:hAnsi="Times New Roman" w:cs="Times New Roman"/>
          <w:vanish/>
          <w:sz w:val="24"/>
          <w:szCs w:val="24"/>
        </w:rPr>
        <w:t>Bagian Bawah Formulir</w:t>
      </w:r>
    </w:p>
    <w:p w14:paraId="112E578A" w14:textId="77777777" w:rsidR="009C57E1" w:rsidRPr="009C57E1" w:rsidRDefault="009C57E1" w:rsidP="009C57E1">
      <w:pPr>
        <w:rPr>
          <w:rFonts w:ascii="Times New Roman" w:hAnsi="Times New Roman" w:cs="Times New Roman"/>
          <w:sz w:val="24"/>
          <w:szCs w:val="24"/>
        </w:rPr>
      </w:pPr>
    </w:p>
    <w:p w14:paraId="39E10646" w14:textId="77777777" w:rsidR="009C57E1" w:rsidRPr="009C57E1" w:rsidRDefault="009C57E1" w:rsidP="009C57E1">
      <w:pPr>
        <w:rPr>
          <w:vanish/>
        </w:rPr>
      </w:pPr>
      <w:r w:rsidRPr="009C57E1">
        <w:rPr>
          <w:vanish/>
        </w:rPr>
        <w:t>Bagian Atas Formulir</w:t>
      </w:r>
    </w:p>
    <w:p w14:paraId="08BA8DAA" w14:textId="77777777" w:rsidR="009C57E1" w:rsidRPr="009C57E1" w:rsidRDefault="009C57E1" w:rsidP="009C57E1">
      <w:pPr>
        <w:rPr>
          <w:vanish/>
        </w:rPr>
      </w:pPr>
      <w:r w:rsidRPr="009C57E1">
        <w:rPr>
          <w:vanish/>
        </w:rPr>
        <w:t>Bagian Bawah Formulir</w:t>
      </w:r>
    </w:p>
    <w:p w14:paraId="77D96B40" w14:textId="77777777" w:rsidR="002F416C" w:rsidRDefault="002F416C"/>
    <w:sectPr w:rsidR="002F41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4342" w14:textId="77777777" w:rsidR="003B7450" w:rsidRDefault="003B7450" w:rsidP="004D6DCA">
      <w:pPr>
        <w:spacing w:after="0" w:line="240" w:lineRule="auto"/>
      </w:pPr>
      <w:r>
        <w:separator/>
      </w:r>
    </w:p>
  </w:endnote>
  <w:endnote w:type="continuationSeparator" w:id="0">
    <w:p w14:paraId="05D12309" w14:textId="77777777" w:rsidR="003B7450" w:rsidRDefault="003B7450" w:rsidP="004D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6BBA8" w14:textId="77777777" w:rsidR="003B7450" w:rsidRDefault="003B7450" w:rsidP="004D6DCA">
      <w:pPr>
        <w:spacing w:after="0" w:line="240" w:lineRule="auto"/>
      </w:pPr>
      <w:r>
        <w:separator/>
      </w:r>
    </w:p>
  </w:footnote>
  <w:footnote w:type="continuationSeparator" w:id="0">
    <w:p w14:paraId="2A5F8560" w14:textId="77777777" w:rsidR="003B7450" w:rsidRDefault="003B7450" w:rsidP="004D6DCA">
      <w:pPr>
        <w:spacing w:after="0" w:line="240" w:lineRule="auto"/>
      </w:pPr>
      <w:r>
        <w:continuationSeparator/>
      </w:r>
    </w:p>
  </w:footnote>
  <w:footnote w:id="1">
    <w:p w14:paraId="6607088D" w14:textId="77777777" w:rsidR="003E7466" w:rsidRDefault="003E7466">
      <w:pPr>
        <w:pStyle w:val="TeksCatatanKaki"/>
      </w:pPr>
      <w:r>
        <w:rPr>
          <w:rStyle w:val="ReferensiCatatanKaki"/>
        </w:rPr>
        <w:footnoteRef/>
      </w:r>
      <w:r>
        <w:t xml:space="preserve"> </w:t>
      </w:r>
      <w:r>
        <w:fldChar w:fldCharType="begin" w:fldLock="1"/>
      </w:r>
      <w:r>
        <w:instrText>ADDIN CSL_CITATION {"citationItems":[{"id":"ITEM-1","itemData":{"author":[{"dropping-particle":"","family":"Badan","given":"Ketua","non-dropping-particle":"","parse-names":false,"suffix":""},{"dropping-particle":"","family":"Harian","given":"Pembina","non-dropping-particle":"","parse-names":false,"suffix":""},{"dropping-particle":"","family":"Muhammadiyah","given":"Anggaran Dasar","non-dropping-particle":"","parse-names":false,"suffix":""}],"id":"ITEM-1","issued":{"date-parts":[["2005"]]},"page":"1-14","title":"MANHAJ TARJIH MUHAMMADIYAH","type":"article-journal"},"uris":["http://www.mendeley.com/documents/?uuid=ba712cab-4218-4db9-af96-22b54c70e9fd"]}],"mendeley":{"formattedCitation":"Ketua Badan, Pembina Harian, and Anggaran Dasar Muhammadiyah, ‘MANHAJ TARJIH MUHAMMADIYAH’, 2005, 1–14.","plainTextFormattedCitation":"Ketua Badan, Pembina Harian, and Anggaran Dasar Muhammadiyah, ‘MANHAJ TARJIH MUHAMMADIYAH’, 2005, 1–14."},"properties":{"noteIndex":1},"schema":"https://github.com/citation-style-language/schema/raw/master/csl-citation.json"}</w:instrText>
      </w:r>
      <w:r>
        <w:fldChar w:fldCharType="separate"/>
      </w:r>
      <w:r w:rsidRPr="003E7466">
        <w:rPr>
          <w:noProof/>
        </w:rPr>
        <w:t>Ketua Badan, Pembina Harian, and Anggaran Dasar Muhammadiyah, ‘MANHAJ TARJIH MUHAMMADIYAH’, 2005, 1–14.</w:t>
      </w:r>
      <w:r>
        <w:fldChar w:fldCharType="end"/>
      </w:r>
    </w:p>
  </w:footnote>
  <w:footnote w:id="2">
    <w:p w14:paraId="36DFF69E" w14:textId="77777777" w:rsidR="004D6DCA" w:rsidRDefault="004D6DCA">
      <w:pPr>
        <w:pStyle w:val="TeksCatatanKaki"/>
      </w:pPr>
      <w:r>
        <w:rPr>
          <w:rStyle w:val="ReferensiCatatanKaki"/>
        </w:rPr>
        <w:footnoteRef/>
      </w:r>
      <w:r>
        <w:t xml:space="preserve"> </w:t>
      </w:r>
      <w:r>
        <w:fldChar w:fldCharType="begin" w:fldLock="1"/>
      </w:r>
      <w:r w:rsidR="003E7466">
        <w:instrText>ADDIN CSL_CITATION {"citationItems":[{"id":"ITEM-1","itemData":{"DOI":"10.18326/millati.v1i1.227-242","author":[{"dropping-particle":"","family":"Abshor","given":"Muhammad Ulil","non-dropping-particle":"","parse-names":false,"suffix":""}],"id":"ITEM-1","issue":"2","issued":{"date-parts":[["2016"]]},"page":"227-242","title":"Dinamika Ijtihad Nahdlatul Ulama ( Analisis Pergeseran Paradigma dalam Lembaga Bahtsul Masail","type":"article-journal","volume":"1"},"uris":["http://www.mendeley.com/documents/?uuid=072fb45b-30ef-4a2c-9e6f-326d41637aea"]}],"mendeley":{"formattedCitation":"Muhammad Ulil Abshor, ‘Dinamika Ijtihad Nahdlatul Ulama ( Analisis Pergeseran Paradigma Dalam Lembaga Bahtsul Masail’, 1.2 (2016), 227–42 &lt;https://doi.org/10.18326/millati.v1i1.227-242&gt;.","plainTextFormattedCitation":"Muhammad Ulil Abshor, ‘Dinamika Ijtihad Nahdlatul Ulama ( Analisis Pergeseran Paradigma Dalam Lembaga Bahtsul Masail’, 1.2 (2016), 227–42 .","previouslyFormattedCitation":"Muhammad Ulil Abshor, ‘Dinamika Ijtihad Nahdlatul Ulama ( Analisis Pergeseran Paradigma Dalam Lembaga Bahtsul Masail’, 1.2 (2016), 227–42 &lt;https://doi.org/10.18326/millati.v1i1.227-242&gt;."},"properties":{"noteIndex":2},"schema":"https://github.com/citation-style-language/schema/raw/master/csl-citation.json"}</w:instrText>
      </w:r>
      <w:r>
        <w:fldChar w:fldCharType="separate"/>
      </w:r>
      <w:r w:rsidRPr="003E7466">
        <w:rPr>
          <w:noProof/>
        </w:rPr>
        <w:t>Muhammad Ulil Abshor, ‘Dinamika Ijtihad Nahdlatul Ulama ( Analisis Pergeseran Paradigma Dalam Lembaga Bahtsul Masail’, 1.2 (2016), 227–42 &lt;https://doi.org/10.18326/millati.v1i1.227-242&gt;.</w:t>
      </w:r>
      <w:r>
        <w:fldChar w:fldCharType="end"/>
      </w:r>
    </w:p>
  </w:footnote>
  <w:footnote w:id="3">
    <w:p w14:paraId="4904ECBB" w14:textId="77777777" w:rsidR="004D6DCA" w:rsidRDefault="004D6DCA">
      <w:pPr>
        <w:pStyle w:val="TeksCatatanKaki"/>
      </w:pPr>
      <w:r>
        <w:rPr>
          <w:rStyle w:val="ReferensiCatatanKaki"/>
        </w:rPr>
        <w:footnoteRef/>
      </w:r>
      <w:r>
        <w:t xml:space="preserve"> </w:t>
      </w:r>
      <w:r>
        <w:fldChar w:fldCharType="begin" w:fldLock="1"/>
      </w:r>
      <w:r w:rsidR="003E7466">
        <w:instrText>ADDIN CSL_CITATION {"citationItems":[{"id":"ITEM-1","itemData":{"author":[{"dropping-particle":"","family":"Ii","given":"B A B","non-dropping-particle":"","parse-names":false,"suffix":""}],"id":"ITEM-1","issued":{"date-parts":[["0"]]},"page":"21-49","title":"RUKYAT AL-HILAL","type":"article-journal"},"uris":["http://www.mendeley.com/documents/?uuid=fe47cf7d-1b31-4792-a097-839a7d4bd114"]}],"mendeley":{"formattedCitation":"B A B Ii, ‘RUKYAT AL-HILAL’, 21–49.","plainTextFormattedCitation":"B A B Ii, ‘RUKYAT AL-HILAL’, 21–49.","previouslyFormattedCitation":"B A B Ii, ‘RUKYAT AL-HILAL’, 21–49."},"properties":{"noteIndex":3},"schema":"https://github.com/citation-style-language/schema/raw/master/csl-citation.json"}</w:instrText>
      </w:r>
      <w:r>
        <w:fldChar w:fldCharType="separate"/>
      </w:r>
      <w:r w:rsidRPr="004D6DCA">
        <w:rPr>
          <w:noProof/>
        </w:rPr>
        <w:t>B A B Ii, ‘RUKYAT AL-HILAL’, 21–49.</w:t>
      </w:r>
      <w:r>
        <w:fldChar w:fldCharType="end"/>
      </w:r>
    </w:p>
  </w:footnote>
  <w:footnote w:id="4">
    <w:p w14:paraId="5CFA99E6" w14:textId="77777777" w:rsidR="004D6DCA" w:rsidRDefault="004D6DCA">
      <w:pPr>
        <w:pStyle w:val="TeksCatatanKaki"/>
      </w:pPr>
      <w:r>
        <w:rPr>
          <w:rStyle w:val="ReferensiCatatanKaki"/>
        </w:rPr>
        <w:footnoteRef/>
      </w:r>
      <w:r>
        <w:t xml:space="preserve"> </w:t>
      </w:r>
      <w:r>
        <w:fldChar w:fldCharType="begin" w:fldLock="1"/>
      </w:r>
      <w:r w:rsidR="003E7466">
        <w:instrText>ADDIN CSL_CITATION {"citationItems":[{"id":"ITEM-1","itemData":{"author":[{"dropping-particle":"","family":"Herman","given":"Muhammad Akbar","non-dropping-particle":"","parse-names":false,"suffix":""},{"dropping-particle":"","family":"Gassing","given":"Qadir","non-dropping-particle":"","parse-names":false,"suffix":""},{"dropping-particle":"","family":"Shuhufi","given":"Muhammad","non-dropping-particle":"","parse-names":false,"suffix":""},{"dropping-particle":"","family":"Hisab","given":"Pengertian","non-dropping-particle":"","parse-names":false,"suffix":""}],"id":"ITEM-1","issue":"4","issued":{"date-parts":[["2024"]]},"page":"617-625","title":"Kontroversi Hisab dan Rukyat Dalam Penentuan Kalender Islam di Era Modern Pendekatan Fikih Kontemporer teks- teks syar ‟ i yang secara literal mengarahkan umat pada metode observasi langsung . 3 Perbedaan ini ajaran Islam klasik dengan realitas modern , memberikan peluang untuk merumuskan kembali hukum- temu yang dapat menjaga ukhuwah Islamiyah dan menghadirkan solusi yang lebih koheren di tengah research ). Pendekatan yang digunakan adalah analisis deskriptif dengan tujuan mendeskripsikan dan Kelebihan Dan Kekurangan Hisab dan Rukyat kedudukan matahari atau bulan sehingga diketahui kedudukan matahari dan bulan tersebut pada bola langit pada saat-saat tertentu . 6 Secara umum hisab sebagai metode perhitungan awal bulan kamariyah","type":"article-journal","volume":"2"},"uris":["http://www.mendeley.com/documents/?uuid=9cb0e221-b27b-45b4-b8a3-a90390fb27cd"]}],"mendeley":{"formattedCitation":"Muhammad Akbar Herman and others, ‘Kontroversi Hisab Dan Rukyat Dalam Penentuan Kalender Islam Di Era Modern Pendekatan Fikih Kontemporer Teks- Teks Syar ‟ i Yang Secara Literal Mengarahkan Umat Pada Metode Observasi Langsung . 3 Perbedaan Ini Ajaran Islam Klasik Dengan Realitas Modern , Memberikan Peluang Untuk Merumuskan Kembali Hukum- Temu Yang Dapat Menjaga Ukhuwah Islamiyah Dan Menghadirkan Solusi Yang Lebih Koheren Di Tengah Research ). Pendekatan Yang Digunakan Adalah Analisis Deskriptif Dengan Tujuan Mendeskripsikan Dan Kelebihan Dan Kekurangan Hisab Dan Rukyat Kedudukan Matahari Atau Bulan Sehingga Diketahui Kedudukan Matahari Dan Bulan Tersebut Pada Bola Langit Pada Saat-Saat Tertentu . 6 Secara Umum Hisab Sebagai Metode Perhitungan Awal Bulan Kamariyah’, 2.4 (2024), 617–25.","plainTextFormattedCitation":"Muhammad Akbar Herman and others, ‘Kontroversi Hisab Dan Rukyat Dalam Penentuan Kalender Islam Di Era Modern Pendekatan Fikih Kontemporer Teks- Teks Syar ‟ i Yang Secara Literal Mengarahkan Umat Pada Metode Observasi Langsung . 3 Perbedaan Ini Ajaran Islam Klasik Dengan Realitas Modern , Memberikan Peluang Untuk Merumuskan Kembali Hukum- Temu Yang Dapat Menjaga Ukhuwah Islamiyah Dan Menghadirkan Solusi Yang Lebih Koheren Di Tengah Research ). Pendekatan Yang Digunakan Adalah Analisis Deskriptif Dengan Tujuan Mendeskripsikan Dan Kelebihan Dan Kekurangan Hisab Dan Rukyat Kedudukan Matahari Atau Bulan Sehingga Diketahui Kedudukan Matahari Dan Bulan Tersebut Pada Bola Langit Pada Saat-Saat Tertentu . 6 Secara Umum Hisab Sebagai Metode Perhitungan Awal Bulan Kamariyah’, 2.4 (2024), 617–25.","previouslyFormattedCitation":"Muhammad Akbar Herman and others, ‘Kontroversi Hisab Dan Rukyat Dalam Penentuan Kalender Islam Di Era Modern Pendekatan Fikih Kontemporer Teks- Teks Syar ‟ i Yang Secara Literal Mengarahkan Umat Pada Metode Observasi Langsung . 3 Perbedaan Ini Ajaran Islam Klasik Dengan Realitas Modern , Memberikan Peluang Untuk Merumuskan Kembali Hukum- Temu Yang Dapat Menjaga Ukhuwah Islamiyah Dan Menghadirkan Solusi Yang Lebih Koheren Di Tengah Research ). Pendekatan Yang Digunakan Adalah Analisis Deskriptif Dengan Tujuan Mendeskripsikan Dan Kelebihan Dan Kekurangan Hisab Dan Rukyat Kedudukan Matahari Atau Bulan Sehingga Diketahui Kedudukan Matahari Dan Bulan Tersebut Pada Bola Langit Pada Saat-Saat Tertentu . 6 Secara Umum Hisab Sebagai Metode Perhitungan Awal Bulan Kamariyah’, 2.4 (2024), 617–25."},"properties":{"noteIndex":4},"schema":"https://github.com/citation-style-language/schema/raw/master/csl-citation.json"}</w:instrText>
      </w:r>
      <w:r>
        <w:fldChar w:fldCharType="separate"/>
      </w:r>
      <w:r w:rsidRPr="004D6DCA">
        <w:rPr>
          <w:noProof/>
        </w:rPr>
        <w:t>Muhammad Akbar Herman and others, ‘Kontroversi Hisab Dan Rukyat Dalam Penentuan Kalender Islam Di Era Modern Pendekatan Fikih Kontemporer Teks- Teks Syar ‟ i Yang Secara Literal Mengarahkan Umat Pada Metode Observasi Langsung . 3 Perbedaan Ini Ajaran Islam Klasik Dengan Realitas Modern , Memberikan Peluang Untuk Merumuskan Kembali Hukum- Temu Yang Dapat Menjaga Ukhuwah Islamiyah Dan Menghadirkan Solusi Yang Lebih Koheren Di Tengah Research ). Pendekatan Yang Digunakan Adalah Analisis Deskriptif Dengan Tujuan Mendeskripsikan Dan Kelebihan Dan Kekurangan Hisab Dan Rukyat Kedudukan Matahari Atau Bulan Sehingga Diketahui Kedudukan Matahari Dan Bulan Tersebut Pada Bola Langit Pada Saat-Saat Tertentu . 6 Secara Umum Hisab Sebagai Metode Perhitungan Awal Bulan Kamariyah’, 2.4 (2024), 617–25.</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430"/>
    <w:multiLevelType w:val="hybridMultilevel"/>
    <w:tmpl w:val="B52864C0"/>
    <w:lvl w:ilvl="0" w:tplc="A45E4A22">
      <w:start w:val="1"/>
      <w:numFmt w:val="decimal"/>
      <w:lvlText w:val="%1."/>
      <w:lvlJc w:val="left"/>
      <w:pPr>
        <w:ind w:left="644"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EE56C95"/>
    <w:multiLevelType w:val="hybridMultilevel"/>
    <w:tmpl w:val="6F707558"/>
    <w:lvl w:ilvl="0" w:tplc="345ABF54">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A80295C"/>
    <w:multiLevelType w:val="hybridMultilevel"/>
    <w:tmpl w:val="C8748924"/>
    <w:lvl w:ilvl="0" w:tplc="FF9A59AE">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2CC11617"/>
    <w:multiLevelType w:val="hybridMultilevel"/>
    <w:tmpl w:val="928C9188"/>
    <w:lvl w:ilvl="0" w:tplc="90EE8DFC">
      <w:start w:val="5"/>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741D424C"/>
    <w:multiLevelType w:val="hybridMultilevel"/>
    <w:tmpl w:val="BEE6FA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10630308">
    <w:abstractNumId w:val="4"/>
  </w:num>
  <w:num w:numId="2" w16cid:durableId="1093818056">
    <w:abstractNumId w:val="2"/>
  </w:num>
  <w:num w:numId="3" w16cid:durableId="605697387">
    <w:abstractNumId w:val="1"/>
  </w:num>
  <w:num w:numId="4" w16cid:durableId="2123768932">
    <w:abstractNumId w:val="3"/>
  </w:num>
  <w:num w:numId="5" w16cid:durableId="1348018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E1"/>
    <w:rsid w:val="00245ACD"/>
    <w:rsid w:val="002F416C"/>
    <w:rsid w:val="003B7450"/>
    <w:rsid w:val="003E7466"/>
    <w:rsid w:val="004D6DCA"/>
    <w:rsid w:val="005F1D5D"/>
    <w:rsid w:val="00862925"/>
    <w:rsid w:val="008C6986"/>
    <w:rsid w:val="00910321"/>
    <w:rsid w:val="009C57E1"/>
    <w:rsid w:val="00BA292B"/>
    <w:rsid w:val="00E15A2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32166"/>
  <w15:chartTrackingRefBased/>
  <w15:docId w15:val="{DF2467A2-6CBD-4562-961C-A1157F33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C57E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9C57E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unhideWhenUsed/>
    <w:qFormat/>
    <w:rsid w:val="009C57E1"/>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9C57E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C57E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C57E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C57E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C57E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C57E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C57E1"/>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9C57E1"/>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rsid w:val="009C57E1"/>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9C57E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C57E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C57E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C57E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C57E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C57E1"/>
    <w:rPr>
      <w:rFonts w:eastAsiaTheme="majorEastAsia" w:cstheme="majorBidi"/>
      <w:color w:val="272727" w:themeColor="text1" w:themeTint="D8"/>
    </w:rPr>
  </w:style>
  <w:style w:type="paragraph" w:styleId="Judul">
    <w:name w:val="Title"/>
    <w:basedOn w:val="Normal"/>
    <w:next w:val="Normal"/>
    <w:link w:val="JudulKAR"/>
    <w:uiPriority w:val="10"/>
    <w:qFormat/>
    <w:rsid w:val="009C57E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9C57E1"/>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9C57E1"/>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9C57E1"/>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9C57E1"/>
    <w:pPr>
      <w:spacing w:before="160"/>
      <w:jc w:val="center"/>
    </w:pPr>
    <w:rPr>
      <w:i/>
      <w:iCs/>
      <w:color w:val="404040" w:themeColor="text1" w:themeTint="BF"/>
    </w:rPr>
  </w:style>
  <w:style w:type="character" w:customStyle="1" w:styleId="KutipanKAR">
    <w:name w:val="Kutipan KAR"/>
    <w:basedOn w:val="FontParagrafDefault"/>
    <w:link w:val="Kutipan"/>
    <w:uiPriority w:val="29"/>
    <w:rsid w:val="009C57E1"/>
    <w:rPr>
      <w:i/>
      <w:iCs/>
      <w:color w:val="404040" w:themeColor="text1" w:themeTint="BF"/>
    </w:rPr>
  </w:style>
  <w:style w:type="paragraph" w:styleId="DaftarParagraf">
    <w:name w:val="List Paragraph"/>
    <w:basedOn w:val="Normal"/>
    <w:uiPriority w:val="34"/>
    <w:qFormat/>
    <w:rsid w:val="009C57E1"/>
    <w:pPr>
      <w:ind w:left="720"/>
      <w:contextualSpacing/>
    </w:pPr>
  </w:style>
  <w:style w:type="character" w:styleId="PenekananKeras">
    <w:name w:val="Intense Emphasis"/>
    <w:basedOn w:val="FontParagrafDefault"/>
    <w:uiPriority w:val="21"/>
    <w:qFormat/>
    <w:rsid w:val="009C57E1"/>
    <w:rPr>
      <w:i/>
      <w:iCs/>
      <w:color w:val="2F5496" w:themeColor="accent1" w:themeShade="BF"/>
    </w:rPr>
  </w:style>
  <w:style w:type="paragraph" w:styleId="KutipanyangSering">
    <w:name w:val="Intense Quote"/>
    <w:basedOn w:val="Normal"/>
    <w:next w:val="Normal"/>
    <w:link w:val="KutipanyangSeringKAR"/>
    <w:uiPriority w:val="30"/>
    <w:qFormat/>
    <w:rsid w:val="009C5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C57E1"/>
    <w:rPr>
      <w:i/>
      <w:iCs/>
      <w:color w:val="2F5496" w:themeColor="accent1" w:themeShade="BF"/>
    </w:rPr>
  </w:style>
  <w:style w:type="character" w:styleId="ReferensiyangSering">
    <w:name w:val="Intense Reference"/>
    <w:basedOn w:val="FontParagrafDefault"/>
    <w:uiPriority w:val="32"/>
    <w:qFormat/>
    <w:rsid w:val="009C57E1"/>
    <w:rPr>
      <w:b/>
      <w:bCs/>
      <w:smallCaps/>
      <w:color w:val="2F5496" w:themeColor="accent1" w:themeShade="BF"/>
      <w:spacing w:val="5"/>
    </w:rPr>
  </w:style>
  <w:style w:type="paragraph" w:styleId="NormalWeb">
    <w:name w:val="Normal (Web)"/>
    <w:basedOn w:val="Normal"/>
    <w:uiPriority w:val="99"/>
    <w:unhideWhenUsed/>
    <w:rsid w:val="00BA292B"/>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customStyle="1" w:styleId="whitespace-normal">
    <w:name w:val="whitespace-normal"/>
    <w:basedOn w:val="FontParagrafDefault"/>
    <w:rsid w:val="00BA292B"/>
  </w:style>
  <w:style w:type="character" w:styleId="Kuat">
    <w:name w:val="Strong"/>
    <w:basedOn w:val="FontParagrafDefault"/>
    <w:uiPriority w:val="22"/>
    <w:qFormat/>
    <w:rsid w:val="00BA292B"/>
    <w:rPr>
      <w:b/>
      <w:bCs/>
    </w:rPr>
  </w:style>
  <w:style w:type="paragraph" w:styleId="TeksCatatanKaki">
    <w:name w:val="footnote text"/>
    <w:basedOn w:val="Normal"/>
    <w:link w:val="TeksCatatanKakiKAR"/>
    <w:uiPriority w:val="99"/>
    <w:semiHidden/>
    <w:unhideWhenUsed/>
    <w:rsid w:val="004D6DCA"/>
    <w:pPr>
      <w:spacing w:after="0" w:line="240" w:lineRule="auto"/>
    </w:pPr>
    <w:rPr>
      <w:sz w:val="20"/>
      <w:szCs w:val="25"/>
    </w:rPr>
  </w:style>
  <w:style w:type="character" w:customStyle="1" w:styleId="TeksCatatanKakiKAR">
    <w:name w:val="Teks Catatan Kaki KAR"/>
    <w:basedOn w:val="FontParagrafDefault"/>
    <w:link w:val="TeksCatatanKaki"/>
    <w:uiPriority w:val="99"/>
    <w:semiHidden/>
    <w:rsid w:val="004D6DCA"/>
    <w:rPr>
      <w:sz w:val="20"/>
      <w:szCs w:val="25"/>
    </w:rPr>
  </w:style>
  <w:style w:type="character" w:styleId="ReferensiCatatanKaki">
    <w:name w:val="footnote reference"/>
    <w:basedOn w:val="FontParagrafDefault"/>
    <w:uiPriority w:val="99"/>
    <w:semiHidden/>
    <w:unhideWhenUsed/>
    <w:rsid w:val="004D6D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92618-12B4-4871-A299-5E5AA756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 dwi nur aini</dc:creator>
  <cp:keywords/>
  <dc:description/>
  <cp:lastModifiedBy>gita dwi nur aini</cp:lastModifiedBy>
  <cp:revision>2</cp:revision>
  <dcterms:created xsi:type="dcterms:W3CDTF">2026-04-15T16:14:00Z</dcterms:created>
  <dcterms:modified xsi:type="dcterms:W3CDTF">2026-04-15T16:14:00Z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c6d65a69-0a78-38ea-a075-64b50290d4da</vt:lpwstr>
  </property>
  <property fmtid="{D5CDD505-2E9C-101B-9397-08002B2CF9AE}" pid="24" name="Mendeley Citation Style_1">
    <vt:lpwstr>http://www.zotero.org/styles/modern-humanities-research-association</vt:lpwstr>
  </property>
</Properties>
</file>