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F01E" w14:textId="77777777" w:rsidR="000D3DF5" w:rsidRDefault="000D3DF5" w:rsidP="000B438C">
      <w:pPr>
        <w:rPr>
          <w:rFonts w:ascii="Times New Roman" w:hAnsi="Times New Roman" w:cs="Times New Roman"/>
          <w:b/>
          <w:bCs/>
          <w:sz w:val="28"/>
          <w:szCs w:val="28"/>
        </w:rPr>
      </w:pPr>
    </w:p>
    <w:p w14:paraId="5E2F9987" w14:textId="4D1F94A7" w:rsidR="000B438C" w:rsidRPr="00A40164" w:rsidRDefault="000B438C" w:rsidP="000B438C">
      <w:pPr>
        <w:rPr>
          <w:rFonts w:ascii="Times New Roman" w:hAnsi="Times New Roman" w:cs="Times New Roman"/>
          <w:b/>
          <w:bCs/>
          <w:sz w:val="28"/>
          <w:szCs w:val="28"/>
        </w:rPr>
      </w:pPr>
      <w:r w:rsidRPr="00A40164">
        <w:rPr>
          <w:rFonts w:ascii="Times New Roman" w:hAnsi="Times New Roman" w:cs="Times New Roman"/>
          <w:b/>
          <w:bCs/>
          <w:sz w:val="28"/>
          <w:szCs w:val="28"/>
        </w:rPr>
        <w:t>Pendahuluan</w:t>
      </w:r>
    </w:p>
    <w:p w14:paraId="6321B857" w14:textId="54A847BE" w:rsidR="000B438C" w:rsidRPr="00A40164" w:rsidRDefault="002C4805" w:rsidP="00846874">
      <w:pPr>
        <w:spacing w:line="360" w:lineRule="auto"/>
        <w:jc w:val="both"/>
        <w:rPr>
          <w:rFonts w:ascii="Times New Roman" w:hAnsi="Times New Roman" w:cs="Times New Roman"/>
        </w:rPr>
      </w:pPr>
      <w:r>
        <w:rPr>
          <w:rFonts w:ascii="Times New Roman" w:hAnsi="Times New Roman" w:cs="Times New Roman"/>
        </w:rPr>
        <w:t xml:space="preserve">            </w:t>
      </w:r>
      <w:r w:rsidR="000B438C" w:rsidRPr="00A40164">
        <w:rPr>
          <w:rFonts w:ascii="Times New Roman" w:hAnsi="Times New Roman" w:cs="Times New Roman"/>
        </w:rPr>
        <w:t>Penentuan awal bulan Hijriyah, khususnya Ramadhan, Syawal, dan Dzulhijjah, merupakan aspek penting dalam kehidupan umat Islam karena berkaitan langsung dengan pelaksanaan ibadah seperti puasa dan hari raya Idul Fitri maupun Idul Adha. Ketepatan dalam menentukan awal bulan menjadi krusial agar ibadah dapat dilaksanakan secara serentak dan sesuai dengan ketentuan syariat. Selain itu, penetapan awal bulan juga menjadi simbol kesatuan umat Islam dalam menjalankan ajaran agama secara kolektif. Namun, dalam praktiknya, penentuan awal bulan seringkali menimbulkan perbedaan di tengah masyarakat, terutama di Indonesia</w:t>
      </w:r>
      <w:r w:rsidR="00F8692B">
        <w:rPr>
          <w:rFonts w:ascii="Times New Roman" w:hAnsi="Times New Roman" w:cs="Times New Roman"/>
        </w:rPr>
        <w:t>.</w:t>
      </w:r>
      <w:r w:rsidR="00CD0D00">
        <w:rPr>
          <w:rStyle w:val="FootnoteReference"/>
          <w:rFonts w:ascii="Times New Roman" w:hAnsi="Times New Roman" w:cs="Times New Roman"/>
        </w:rPr>
        <w:footnoteReference w:id="1"/>
      </w:r>
    </w:p>
    <w:p w14:paraId="1FA9DBD1" w14:textId="050348A8" w:rsidR="000B438C" w:rsidRDefault="002C4805" w:rsidP="00846874">
      <w:pPr>
        <w:spacing w:line="360" w:lineRule="auto"/>
        <w:jc w:val="both"/>
        <w:rPr>
          <w:rFonts w:ascii="Times New Roman" w:hAnsi="Times New Roman" w:cs="Times New Roman"/>
        </w:rPr>
      </w:pPr>
      <w:r>
        <w:rPr>
          <w:rFonts w:ascii="Times New Roman" w:hAnsi="Times New Roman" w:cs="Times New Roman"/>
        </w:rPr>
        <w:t xml:space="preserve">            </w:t>
      </w:r>
      <w:r w:rsidR="000B438C" w:rsidRPr="00A40164">
        <w:rPr>
          <w:rFonts w:ascii="Times New Roman" w:hAnsi="Times New Roman" w:cs="Times New Roman"/>
        </w:rPr>
        <w:t>Perbedaan tersebut umumnya disebabkan oleh adanya dua metode utama yang digunakan, yaitu hisab dan rukyat. Metode hisab menggunakan perhitungan astronomis untuk menentukan posisi hilal secara matematis, sedangkan rukyat mengandalkan pengamatan langsung terhadap hilal di lapangan. Perkembangan ilmu pengetahuan dan teknologi telah memberikan kontribusi besar terhadap kedua metode tersebut, seperti penggunaan teleskop dan perangkat lunak astronomi, sehingga perhitungan dapat dilakukan dengan lebih akurat. Meskipun demikian, kemajuan tersebut tidak sepenuhnya mampu menghilangkan perbedaan hasil penetapan awal bulan. Hal ini disebabkan oleh adanya perbedaan dalam memahami dalil keagamaan serta pendekatan epistemologis yang digunakan oleh masing-masing kelompok.</w:t>
      </w:r>
      <w:r w:rsidR="00DB6327">
        <w:rPr>
          <w:rStyle w:val="FootnoteReference"/>
          <w:rFonts w:ascii="Times New Roman" w:hAnsi="Times New Roman" w:cs="Times New Roman"/>
        </w:rPr>
        <w:footnoteReference w:id="2"/>
      </w:r>
    </w:p>
    <w:p w14:paraId="52629E37" w14:textId="7391A7F7" w:rsidR="000B438C" w:rsidRPr="00A40164" w:rsidRDefault="002C4805" w:rsidP="00846874">
      <w:pPr>
        <w:spacing w:line="360" w:lineRule="auto"/>
        <w:jc w:val="both"/>
        <w:rPr>
          <w:rFonts w:ascii="Times New Roman" w:hAnsi="Times New Roman" w:cs="Times New Roman"/>
        </w:rPr>
      </w:pPr>
      <w:r>
        <w:rPr>
          <w:rFonts w:ascii="Times New Roman" w:hAnsi="Times New Roman" w:cs="Times New Roman"/>
        </w:rPr>
        <w:t xml:space="preserve">             </w:t>
      </w:r>
      <w:r w:rsidR="000B438C" w:rsidRPr="00A40164">
        <w:rPr>
          <w:rFonts w:ascii="Times New Roman" w:hAnsi="Times New Roman" w:cs="Times New Roman"/>
        </w:rPr>
        <w:t>Dampak dari perbedaan penetapan awal bulan tidak hanya bersifat teknis, tetapi juga berpengaruh secara sosial dan psikologis. Masyarakat sering mengalami kebingungan dalam menentukan waktu pelaksanaan ibadah, bahkan tidak jarang terjadi kegelisahan ketika sebagian masyarakat telah memulai ibadah sementara yang lain belum. Selain itu, perbedaan tersebut juga dapat menimbulkan ketidakharmonisan dalam lingkungan keluarga maupun masyarakat, terutama dalam momentum penting seperti hari raya Idul Fitri³. Kondisi ini menunjukkan bahwa persoalan penentuan awal bulan tidak hanya menjadi isu keilmuan, tetapi juga memiliki implikasi sosial yang cukup luas.</w:t>
      </w:r>
    </w:p>
    <w:p w14:paraId="710C5349" w14:textId="77777777" w:rsidR="002C4805" w:rsidRDefault="002C4805" w:rsidP="00846874">
      <w:pPr>
        <w:spacing w:line="360" w:lineRule="auto"/>
        <w:jc w:val="both"/>
        <w:rPr>
          <w:rFonts w:ascii="Times New Roman" w:hAnsi="Times New Roman" w:cs="Times New Roman"/>
        </w:rPr>
      </w:pPr>
      <w:r>
        <w:rPr>
          <w:rFonts w:ascii="Times New Roman" w:hAnsi="Times New Roman" w:cs="Times New Roman"/>
        </w:rPr>
        <w:t xml:space="preserve">           </w:t>
      </w:r>
      <w:r w:rsidR="000B438C" w:rsidRPr="00A40164">
        <w:rPr>
          <w:rFonts w:ascii="Times New Roman" w:hAnsi="Times New Roman" w:cs="Times New Roman"/>
        </w:rPr>
        <w:t>Dalam konteks Indonesia, perbedaan ini tidak dapat dilepaskan dari peran lembaga keagamaan seperti Majelis Tarjih Muhammadiyah dan Lembaga Bahtsul Masail Nahdlatul Ulama. Kedua lembaga tersebut memiliki otoritas dalam menetapkan hukum Islam, termasuk dalam menentukan awal bulan Hijriyah, dengan metode dan pendekatan yang berbeda. Perbedaan tersebut tidak hanya terletak pada aspek teknis, tetapi juga pada cara memahami dalil serta pendekatan keilmuan yang</w:t>
      </w:r>
      <w:r>
        <w:rPr>
          <w:rFonts w:ascii="Times New Roman" w:hAnsi="Times New Roman" w:cs="Times New Roman"/>
        </w:rPr>
        <w:t xml:space="preserve"> </w:t>
      </w:r>
      <w:r w:rsidR="000B438C" w:rsidRPr="000D3DF5">
        <w:rPr>
          <w:rFonts w:ascii="Times New Roman" w:hAnsi="Times New Roman" w:cs="Times New Roman"/>
        </w:rPr>
        <w:t xml:space="preserve">melatarbelakanginya. </w:t>
      </w:r>
    </w:p>
    <w:p w14:paraId="06E2E02E" w14:textId="60F15619" w:rsidR="002C4805" w:rsidRPr="00D20D69" w:rsidRDefault="002C4805" w:rsidP="001261D1">
      <w:pPr>
        <w:spacing w:line="360" w:lineRule="auto"/>
        <w:jc w:val="both"/>
        <w:rPr>
          <w:rFonts w:ascii="Times New Roman" w:hAnsi="Times New Roman" w:cs="Times New Roman"/>
        </w:rPr>
      </w:pPr>
      <w:r>
        <w:rPr>
          <w:rFonts w:ascii="Times New Roman" w:hAnsi="Times New Roman" w:cs="Times New Roman"/>
        </w:rPr>
        <w:t xml:space="preserve">            </w:t>
      </w:r>
      <w:r w:rsidR="000B438C" w:rsidRPr="000D3DF5">
        <w:rPr>
          <w:rFonts w:ascii="Times New Roman" w:hAnsi="Times New Roman" w:cs="Times New Roman"/>
        </w:rPr>
        <w:t>Oleh karena itu, kajian mengenai perbandingan kedua lembaga tersebut menjadi penting untuk memahami akar perbedaan sekaligus memberikan kontribusi dalam membangun sikap toleransi, kedewasaan beragama, serta memperkuat persatuan umat Islam di Indonesia.</w:t>
      </w:r>
      <w:r w:rsidR="00D20D69">
        <w:rPr>
          <w:rFonts w:ascii="Times New Roman" w:hAnsi="Times New Roman" w:cs="Times New Roman"/>
        </w:rPr>
        <w:t xml:space="preserve"> </w:t>
      </w:r>
    </w:p>
    <w:p w14:paraId="643AF8F7" w14:textId="77777777" w:rsidR="002C4805" w:rsidRDefault="002C4805" w:rsidP="001261D1">
      <w:pPr>
        <w:spacing w:line="360" w:lineRule="auto"/>
        <w:jc w:val="both"/>
        <w:rPr>
          <w:rFonts w:ascii="Times New Roman" w:hAnsi="Times New Roman" w:cs="Times New Roman"/>
          <w:b/>
          <w:bCs/>
        </w:rPr>
      </w:pPr>
    </w:p>
    <w:p w14:paraId="2052E3EA" w14:textId="48BF0BF8" w:rsidR="002C4805" w:rsidRPr="00846874" w:rsidRDefault="001261D1" w:rsidP="001261D1">
      <w:pPr>
        <w:spacing w:line="360" w:lineRule="auto"/>
        <w:jc w:val="both"/>
        <w:rPr>
          <w:rFonts w:ascii="Times New Roman" w:hAnsi="Times New Roman" w:cs="Times New Roman"/>
          <w:b/>
          <w:bCs/>
          <w:sz w:val="28"/>
          <w:szCs w:val="28"/>
        </w:rPr>
      </w:pPr>
      <w:r w:rsidRPr="00846874">
        <w:rPr>
          <w:rFonts w:ascii="Times New Roman" w:hAnsi="Times New Roman" w:cs="Times New Roman"/>
          <w:b/>
          <w:bCs/>
          <w:sz w:val="28"/>
          <w:szCs w:val="28"/>
        </w:rPr>
        <w:t>Hasil Dan Pembahasan</w:t>
      </w:r>
    </w:p>
    <w:p w14:paraId="6614770A" w14:textId="77E4890E" w:rsidR="001261D1" w:rsidRPr="002C4805" w:rsidRDefault="002C4805" w:rsidP="001261D1">
      <w:pPr>
        <w:spacing w:line="360" w:lineRule="auto"/>
        <w:jc w:val="both"/>
        <w:rPr>
          <w:rFonts w:ascii="Times New Roman" w:hAnsi="Times New Roman" w:cs="Times New Roman"/>
          <w:b/>
          <w:bCs/>
        </w:rPr>
      </w:pPr>
      <w:r>
        <w:rPr>
          <w:rFonts w:ascii="Times New Roman" w:hAnsi="Times New Roman" w:cs="Times New Roman"/>
        </w:rPr>
        <w:t xml:space="preserve">            </w:t>
      </w:r>
      <w:r w:rsidR="001261D1" w:rsidRPr="00BF5E62">
        <w:rPr>
          <w:rFonts w:ascii="Times New Roman" w:hAnsi="Times New Roman" w:cs="Times New Roman"/>
        </w:rPr>
        <w:t>Berdasarkan kajian yang telah dilakukan, dapat dipahami bahwa Majelis Tarjih dan Tajdid Muhammadiyah serta Lembaga Bahtsul Masail Nahdlatul Ulama (LBMNU) merupakan dua lembaga penting dalam penetapan hukum Islam di Indonesia, khususnya dalam menentukan awal bulan Hijriyah. Keduanya memiliki dasar yang sama, yaitu Al-Qur’an dan hadis, namun metode yang digunakan berbeda sesuai dengan pendekatan masing-masing.</w:t>
      </w:r>
      <w:r w:rsidR="001261D1">
        <w:rPr>
          <w:rFonts w:ascii="Times New Roman" w:hAnsi="Times New Roman" w:cs="Times New Roman"/>
        </w:rPr>
        <w:t xml:space="preserve"> </w:t>
      </w:r>
      <w:r w:rsidR="001261D1" w:rsidRPr="00BF5E62">
        <w:rPr>
          <w:rFonts w:ascii="Times New Roman" w:hAnsi="Times New Roman" w:cs="Times New Roman"/>
        </w:rPr>
        <w:t xml:space="preserve">Majelis Tarjih Muhammadiyah menggunakan metode hisab hakiki wujudul hilal, yaitu perhitungan astronomis untuk menentukan posisi bulan. </w:t>
      </w:r>
    </w:p>
    <w:p w14:paraId="74DF5ADA" w14:textId="4CDE2B4E" w:rsidR="001261D1" w:rsidRPr="00BF5E62" w:rsidRDefault="002C4805" w:rsidP="001261D1">
      <w:pPr>
        <w:spacing w:line="360" w:lineRule="auto"/>
        <w:jc w:val="both"/>
        <w:rPr>
          <w:rFonts w:ascii="Times New Roman" w:hAnsi="Times New Roman" w:cs="Times New Roman"/>
        </w:rPr>
      </w:pPr>
      <w:r>
        <w:rPr>
          <w:rFonts w:ascii="Times New Roman" w:hAnsi="Times New Roman" w:cs="Times New Roman"/>
        </w:rPr>
        <w:t xml:space="preserve">           </w:t>
      </w:r>
      <w:r w:rsidR="001261D1" w:rsidRPr="00BF5E62">
        <w:rPr>
          <w:rFonts w:ascii="Times New Roman" w:hAnsi="Times New Roman" w:cs="Times New Roman"/>
        </w:rPr>
        <w:t>Dalam metode ini, awal bulan ditetapkan apabila ijtimak terjadi sebelum matahari terbenam dan posisi bulan sudah berada di atas ufuk, tanpa harus terlihat secara langsung. Pendekatan ini memberikan kepastian karena hasilnya dapat dihitung jauh hari sebelumnya sehingga memudahkan penetapan kalender Hijriyah secara terencana.</w:t>
      </w:r>
      <w:r w:rsidR="00CD0D00">
        <w:rPr>
          <w:rStyle w:val="FootnoteReference"/>
          <w:rFonts w:ascii="Times New Roman" w:hAnsi="Times New Roman" w:cs="Times New Roman"/>
        </w:rPr>
        <w:footnoteReference w:id="3"/>
      </w:r>
    </w:p>
    <w:tbl>
      <w:tblPr>
        <w:tblStyle w:val="TableGrid"/>
        <w:tblpPr w:leftFromText="180" w:rightFromText="180" w:vertAnchor="page" w:horzAnchor="margin" w:tblpY="5778"/>
        <w:tblW w:w="9945" w:type="dxa"/>
        <w:tblLayout w:type="fixed"/>
        <w:tblLook w:val="04A0" w:firstRow="1" w:lastRow="0" w:firstColumn="1" w:lastColumn="0" w:noHBand="0" w:noVBand="1"/>
      </w:tblPr>
      <w:tblGrid>
        <w:gridCol w:w="1046"/>
        <w:gridCol w:w="985"/>
        <w:gridCol w:w="1047"/>
        <w:gridCol w:w="985"/>
        <w:gridCol w:w="1090"/>
        <w:gridCol w:w="785"/>
        <w:gridCol w:w="934"/>
        <w:gridCol w:w="803"/>
        <w:gridCol w:w="1246"/>
        <w:gridCol w:w="1024"/>
      </w:tblGrid>
      <w:tr w:rsidR="001261D1" w:rsidRPr="000D3DF5" w14:paraId="37D3A141" w14:textId="77777777" w:rsidTr="001261D1">
        <w:trPr>
          <w:trHeight w:val="256"/>
        </w:trPr>
        <w:tc>
          <w:tcPr>
            <w:tcW w:w="1046" w:type="dxa"/>
          </w:tcPr>
          <w:p w14:paraId="65484543" w14:textId="77777777" w:rsidR="001261D1" w:rsidRPr="000D3DF5" w:rsidRDefault="001261D1" w:rsidP="001261D1">
            <w:pPr>
              <w:rPr>
                <w:rFonts w:ascii="Times New Roman" w:hAnsi="Times New Roman" w:cs="Times New Roman"/>
                <w:sz w:val="18"/>
                <w:szCs w:val="18"/>
              </w:rPr>
            </w:pPr>
            <w:bookmarkStart w:id="0" w:name="_Hlk227143465"/>
            <w:r w:rsidRPr="000D3DF5">
              <w:rPr>
                <w:rFonts w:ascii="Times New Roman" w:hAnsi="Times New Roman" w:cs="Times New Roman"/>
                <w:sz w:val="18"/>
                <w:szCs w:val="18"/>
              </w:rPr>
              <w:t>Masalah</w:t>
            </w:r>
          </w:p>
        </w:tc>
        <w:tc>
          <w:tcPr>
            <w:tcW w:w="985" w:type="dxa"/>
          </w:tcPr>
          <w:p w14:paraId="2095FCE6"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Hasil LBM</w:t>
            </w:r>
          </w:p>
        </w:tc>
        <w:tc>
          <w:tcPr>
            <w:tcW w:w="1047" w:type="dxa"/>
          </w:tcPr>
          <w:p w14:paraId="3513CA10"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Hasil tarjih</w:t>
            </w:r>
          </w:p>
        </w:tc>
        <w:tc>
          <w:tcPr>
            <w:tcW w:w="985" w:type="dxa"/>
          </w:tcPr>
          <w:p w14:paraId="533B9EBA"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Dalil LBM</w:t>
            </w:r>
          </w:p>
        </w:tc>
        <w:tc>
          <w:tcPr>
            <w:tcW w:w="1090" w:type="dxa"/>
          </w:tcPr>
          <w:p w14:paraId="31453A62"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Dalil tarjih</w:t>
            </w:r>
          </w:p>
        </w:tc>
        <w:tc>
          <w:tcPr>
            <w:tcW w:w="785" w:type="dxa"/>
          </w:tcPr>
          <w:p w14:paraId="47DDA242"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Metode LBM</w:t>
            </w:r>
          </w:p>
        </w:tc>
        <w:tc>
          <w:tcPr>
            <w:tcW w:w="934" w:type="dxa"/>
          </w:tcPr>
          <w:p w14:paraId="1CA6A3F5"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Metode tarjih</w:t>
            </w:r>
          </w:p>
        </w:tc>
        <w:tc>
          <w:tcPr>
            <w:tcW w:w="803" w:type="dxa"/>
          </w:tcPr>
          <w:p w14:paraId="3FECA9A6"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Rujukan LBM</w:t>
            </w:r>
          </w:p>
        </w:tc>
        <w:tc>
          <w:tcPr>
            <w:tcW w:w="1246" w:type="dxa"/>
          </w:tcPr>
          <w:p w14:paraId="75350F42"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Rujukan tarjih</w:t>
            </w:r>
          </w:p>
        </w:tc>
        <w:tc>
          <w:tcPr>
            <w:tcW w:w="1024" w:type="dxa"/>
          </w:tcPr>
          <w:p w14:paraId="0F973B89"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Analisis</w:t>
            </w:r>
          </w:p>
        </w:tc>
      </w:tr>
      <w:tr w:rsidR="001261D1" w:rsidRPr="000D3DF5" w14:paraId="032A3C4A" w14:textId="77777777" w:rsidTr="001261D1">
        <w:trPr>
          <w:trHeight w:val="1265"/>
        </w:trPr>
        <w:tc>
          <w:tcPr>
            <w:tcW w:w="1046" w:type="dxa"/>
          </w:tcPr>
          <w:p w14:paraId="4CDE1414"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Penentuan awal Ramadhan (apakah menggunakan rukyat atau hisab)</w:t>
            </w:r>
          </w:p>
        </w:tc>
        <w:tc>
          <w:tcPr>
            <w:tcW w:w="985" w:type="dxa"/>
          </w:tcPr>
          <w:p w14:paraId="7EB51875"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Awal Ramadhan ditetapkan dengan rukyatul hilal, tetapi hisab digunkan sebagai alat bantu untuk memprediksi kemugkinan terlihatnya hilal.</w:t>
            </w:r>
          </w:p>
        </w:tc>
        <w:tc>
          <w:tcPr>
            <w:tcW w:w="1047" w:type="dxa"/>
          </w:tcPr>
          <w:p w14:paraId="04782E81"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Penentuan awal Ramadhan boleh menggunakan metode hisab karena dianggap lebih pasti dan ilmiah.</w:t>
            </w:r>
          </w:p>
        </w:tc>
        <w:tc>
          <w:tcPr>
            <w:tcW w:w="985" w:type="dxa"/>
          </w:tcPr>
          <w:p w14:paraId="119CB0DB"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Hadist Nabi:</w:t>
            </w:r>
          </w:p>
          <w:p w14:paraId="4339788E" w14:textId="77777777" w:rsidR="001261D1" w:rsidRPr="000D3DF5" w:rsidRDefault="001261D1" w:rsidP="001261D1">
            <w:pPr>
              <w:jc w:val="center"/>
              <w:rPr>
                <w:rFonts w:ascii="Times New Roman" w:hAnsi="Times New Roman" w:cs="Times New Roman"/>
                <w:sz w:val="18"/>
                <w:szCs w:val="18"/>
              </w:rPr>
            </w:pPr>
            <w:r w:rsidRPr="000D3DF5">
              <w:rPr>
                <w:rFonts w:ascii="Times New Roman" w:hAnsi="Times New Roman" w:cs="Times New Roman"/>
                <w:sz w:val="18"/>
                <w:szCs w:val="18"/>
              </w:rPr>
              <w:t>صُومُوا لِرُؤْيَتِهِ وَأَفْطِرُوا لِرُؤْيَتِهِ فَإِنْ غُمَّ عَلَيْكُمْ فَأَكْمِلُوا عِدَّةَ شَعْبَانَ ثَلَاثِينَ يَوْمًا</w:t>
            </w:r>
          </w:p>
          <w:p w14:paraId="0ED2C5DE"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“berpuasalah kamu karena melihatnya.”</w:t>
            </w:r>
          </w:p>
          <w:p w14:paraId="46FD86CD"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(HR.Bukhari dan Muslim)</w:t>
            </w:r>
          </w:p>
        </w:tc>
        <w:tc>
          <w:tcPr>
            <w:tcW w:w="1090" w:type="dxa"/>
          </w:tcPr>
          <w:p w14:paraId="0729464F"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Dalil yang sama, tetapi dipahami bahwa hisab bisa membantu memastikan posisi hilal karena perkembangan ilmu pengetahuan.</w:t>
            </w:r>
          </w:p>
        </w:tc>
        <w:tc>
          <w:tcPr>
            <w:tcW w:w="785" w:type="dxa"/>
          </w:tcPr>
          <w:p w14:paraId="557B0463"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Rukyatul hilal (melihat bulan secara langsung) dengan bantuan hisab.</w:t>
            </w:r>
          </w:p>
        </w:tc>
        <w:tc>
          <w:tcPr>
            <w:tcW w:w="934" w:type="dxa"/>
          </w:tcPr>
          <w:p w14:paraId="6B6432F0"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 xml:space="preserve">Hisab astronomi untuk menentukan posisi hilal. </w:t>
            </w:r>
          </w:p>
        </w:tc>
        <w:tc>
          <w:tcPr>
            <w:tcW w:w="803" w:type="dxa"/>
          </w:tcPr>
          <w:p w14:paraId="7E030D61"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Kitab-kitab fiqih klasik dan keputusan bahtsul masail NU.</w:t>
            </w:r>
          </w:p>
        </w:tc>
        <w:tc>
          <w:tcPr>
            <w:tcW w:w="1246" w:type="dxa"/>
          </w:tcPr>
          <w:p w14:paraId="56254D87"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Keputusan majelis tarjih muhammadaiyah dan kajian astronomi islam.</w:t>
            </w:r>
          </w:p>
        </w:tc>
        <w:tc>
          <w:tcPr>
            <w:tcW w:w="1024" w:type="dxa"/>
          </w:tcPr>
          <w:p w14:paraId="701C27A8" w14:textId="77777777" w:rsidR="001261D1" w:rsidRPr="000D3DF5" w:rsidRDefault="001261D1" w:rsidP="001261D1">
            <w:pPr>
              <w:rPr>
                <w:rFonts w:ascii="Times New Roman" w:hAnsi="Times New Roman" w:cs="Times New Roman"/>
                <w:sz w:val="18"/>
                <w:szCs w:val="18"/>
              </w:rPr>
            </w:pPr>
            <w:r w:rsidRPr="000D3DF5">
              <w:rPr>
                <w:rFonts w:ascii="Times New Roman" w:hAnsi="Times New Roman" w:cs="Times New Roman"/>
                <w:sz w:val="18"/>
                <w:szCs w:val="18"/>
              </w:rPr>
              <w:t>Perbedaan ini terjadi karena perbedaan metode memahami dalil. Sebagian ulama menekankan rukyat sesuai teks hadist, sedangkan yang lain membolehkan hisab karena perkembangan ilmu falak. Keduanya tetap bertujuan menentukan awal Ramadhan secara tepat.</w:t>
            </w:r>
          </w:p>
        </w:tc>
      </w:tr>
    </w:tbl>
    <w:bookmarkEnd w:id="0"/>
    <w:p w14:paraId="7F4F06C3" w14:textId="33F59DC4" w:rsidR="001261D1" w:rsidRPr="00BF5E62" w:rsidRDefault="001261D1" w:rsidP="001261D1">
      <w:pPr>
        <w:spacing w:line="360" w:lineRule="auto"/>
        <w:jc w:val="both"/>
        <w:rPr>
          <w:rFonts w:ascii="Times New Roman" w:hAnsi="Times New Roman" w:cs="Times New Roman"/>
        </w:rPr>
      </w:pPr>
      <w:r w:rsidRPr="00BF5E62">
        <w:rPr>
          <w:rFonts w:ascii="Times New Roman" w:hAnsi="Times New Roman" w:cs="Times New Roman"/>
        </w:rPr>
        <w:t>Sementara itu, LBMNU menggunakan metode rukyatul hilal, yaitu pengamatan langsung terhadap hilal setelah matahari terbenam pada tanggal 29 bulan Qamariyah. Namun, metode ini juga didukung oleh hisab sebagai alat bantu untuk memprediksi kemungkinan terlihatnya hilal. LBMNU menggunakan kriteria Neo-MABIMS, yaitu tinggi hilal minimal 3 derajat dan elongasi 6,4 derajat. Jika hilal tidak terlihat dan tidak memenuhi kriteria tersebut, maka bulan digenapkan menjadi 30 hari (istikmal).</w:t>
      </w:r>
      <w:r w:rsidR="00DB6327">
        <w:rPr>
          <w:rStyle w:val="FootnoteReference"/>
          <w:rFonts w:ascii="Times New Roman" w:hAnsi="Times New Roman" w:cs="Times New Roman"/>
        </w:rPr>
        <w:footnoteReference w:id="4"/>
      </w:r>
    </w:p>
    <w:p w14:paraId="15C3628D" w14:textId="45F27784" w:rsidR="001261D1" w:rsidRPr="00BF5E62" w:rsidRDefault="002C4805" w:rsidP="001261D1">
      <w:pPr>
        <w:spacing w:line="360" w:lineRule="auto"/>
        <w:jc w:val="both"/>
        <w:rPr>
          <w:rFonts w:ascii="Times New Roman" w:hAnsi="Times New Roman" w:cs="Times New Roman"/>
        </w:rPr>
      </w:pPr>
      <w:r>
        <w:rPr>
          <w:rFonts w:ascii="Times New Roman" w:hAnsi="Times New Roman" w:cs="Times New Roman"/>
        </w:rPr>
        <w:lastRenderedPageBreak/>
        <w:t xml:space="preserve">           </w:t>
      </w:r>
      <w:r w:rsidR="001261D1" w:rsidRPr="00BF5E62">
        <w:rPr>
          <w:rFonts w:ascii="Times New Roman" w:hAnsi="Times New Roman" w:cs="Times New Roman"/>
        </w:rPr>
        <w:t>Meskipun terdapat perbedaan dalam metode penentuan awal bulan, keduanya memiliki beberapa persamaan. Pertama, baik Muhammadiyah maupun NU sama-sama menggunakan hisab hakiki</w:t>
      </w:r>
      <w:r w:rsidR="001261D1" w:rsidRPr="00BF5E62">
        <w:rPr>
          <w:rFonts w:ascii="Times New Roman" w:hAnsi="Times New Roman" w:cs="Times New Roman"/>
          <w:b/>
          <w:bCs/>
        </w:rPr>
        <w:t xml:space="preserve"> tahqiqi</w:t>
      </w:r>
      <w:r w:rsidR="001261D1" w:rsidRPr="00BF5E62">
        <w:rPr>
          <w:rFonts w:ascii="Times New Roman" w:hAnsi="Times New Roman" w:cs="Times New Roman"/>
        </w:rPr>
        <w:t>, yaitu perhitungan astronomi modern yang akurat. Kedua, keduanya memanfaatkan perkembangan ilmu pengetahuan dan teknologi dalam ilmu falak. Ketiga, keduanya juga sepakat dengan prinsip istikmal ketika hilal tidak memungkinkan untuk ditentukan secara pasti.</w:t>
      </w:r>
      <w:r w:rsidR="00486BFF">
        <w:rPr>
          <w:rStyle w:val="FootnoteReference"/>
          <w:rFonts w:ascii="Times New Roman" w:hAnsi="Times New Roman" w:cs="Times New Roman"/>
        </w:rPr>
        <w:footnoteReference w:id="5"/>
      </w:r>
    </w:p>
    <w:p w14:paraId="24E8CFE9" w14:textId="6448FDF5" w:rsidR="001261D1" w:rsidRDefault="002C4805" w:rsidP="001261D1">
      <w:pPr>
        <w:spacing w:line="360" w:lineRule="auto"/>
        <w:jc w:val="both"/>
        <w:rPr>
          <w:rFonts w:ascii="Times New Roman" w:hAnsi="Times New Roman" w:cs="Times New Roman"/>
          <w:vertAlign w:val="superscript"/>
        </w:rPr>
      </w:pPr>
      <w:r>
        <w:rPr>
          <w:rFonts w:ascii="Times New Roman" w:hAnsi="Times New Roman" w:cs="Times New Roman"/>
        </w:rPr>
        <w:t xml:space="preserve">            </w:t>
      </w:r>
      <w:r w:rsidR="001261D1" w:rsidRPr="00BF5E62">
        <w:rPr>
          <w:rFonts w:ascii="Times New Roman" w:hAnsi="Times New Roman" w:cs="Times New Roman"/>
        </w:rPr>
        <w:t>Selain itu, terdapat beberapa tokoh ulama yang menggunakan metode hisab dalam kajiannya, baik dari kalangan Muhammadiyah maupun NU, seperti Muhammad Wardan Diponingrat, KH. Ahmad Dahlan, serta tokoh modern seperti Yusuf al-Qaradhawi. Hal ini menunjukkan bahwa penggunaan hisab tidak hanya terbatas pada satu kelompok, tetapi telah menjadi bagian dari perkembangan pemikiran Islam kontemporer.</w:t>
      </w:r>
      <w:r w:rsidR="00486BFF">
        <w:rPr>
          <w:rStyle w:val="FootnoteReference"/>
          <w:rFonts w:ascii="Times New Roman" w:hAnsi="Times New Roman" w:cs="Times New Roman"/>
        </w:rPr>
        <w:footnoteReference w:id="6"/>
      </w:r>
    </w:p>
    <w:p w14:paraId="614EBA39" w14:textId="4C4CBE90" w:rsidR="001261D1" w:rsidRDefault="001261D1" w:rsidP="001261D1">
      <w:pPr>
        <w:spacing w:line="360" w:lineRule="auto"/>
        <w:jc w:val="both"/>
        <w:rPr>
          <w:rFonts w:ascii="Times New Roman" w:hAnsi="Times New Roman" w:cs="Times New Roman"/>
          <w:b/>
          <w:bCs/>
          <w:sz w:val="28"/>
          <w:szCs w:val="28"/>
        </w:rPr>
      </w:pPr>
      <w:r w:rsidRPr="001261D1">
        <w:rPr>
          <w:rFonts w:ascii="Times New Roman" w:hAnsi="Times New Roman" w:cs="Times New Roman"/>
          <w:b/>
          <w:bCs/>
          <w:sz w:val="28"/>
          <w:szCs w:val="28"/>
        </w:rPr>
        <w:t>Kesimpulan</w:t>
      </w:r>
    </w:p>
    <w:p w14:paraId="011F949F" w14:textId="53045775" w:rsidR="002C4805" w:rsidRPr="002C4805" w:rsidRDefault="002C4805" w:rsidP="002C4805">
      <w:pPr>
        <w:spacing w:line="360" w:lineRule="auto"/>
        <w:jc w:val="both"/>
        <w:rPr>
          <w:rFonts w:ascii="Times New Roman" w:hAnsi="Times New Roman" w:cs="Times New Roman"/>
        </w:rPr>
      </w:pPr>
      <w:r>
        <w:rPr>
          <w:rFonts w:ascii="Times New Roman" w:hAnsi="Times New Roman" w:cs="Times New Roman"/>
        </w:rPr>
        <w:t xml:space="preserve">         </w:t>
      </w:r>
      <w:r w:rsidR="00846874">
        <w:rPr>
          <w:rFonts w:ascii="Times New Roman" w:hAnsi="Times New Roman" w:cs="Times New Roman"/>
        </w:rPr>
        <w:t xml:space="preserve"> </w:t>
      </w:r>
      <w:r>
        <w:rPr>
          <w:rFonts w:ascii="Times New Roman" w:hAnsi="Times New Roman" w:cs="Times New Roman"/>
        </w:rPr>
        <w:t xml:space="preserve"> </w:t>
      </w:r>
      <w:r w:rsidRPr="002C4805">
        <w:rPr>
          <w:rFonts w:ascii="Times New Roman" w:hAnsi="Times New Roman" w:cs="Times New Roman"/>
        </w:rPr>
        <w:t>Berdasarkan hasil pembahasan yang telah dilakukan, dapat dipahami bahwa perbedaan pandangan antara Lembaga Bahtsul Masail Nahdlatul Ulama (LBMNU) dan Majelis Tarjih Muhammadiyah merupakan hal yang wajar dalam kajian keislaman. Perbedaan ini muncul karena adanya variasi dalam metode, pendekatan, serta cara memahami dalil yang digunakan oleh masing-masing lembaga.</w:t>
      </w:r>
      <w:r>
        <w:rPr>
          <w:rFonts w:ascii="Times New Roman" w:hAnsi="Times New Roman" w:cs="Times New Roman"/>
        </w:rPr>
        <w:t xml:space="preserve"> </w:t>
      </w:r>
      <w:r w:rsidRPr="002C4805">
        <w:rPr>
          <w:rFonts w:ascii="Times New Roman" w:hAnsi="Times New Roman" w:cs="Times New Roman"/>
        </w:rPr>
        <w:t>Di satu sisi, terdapat pendekatan yang lebih menekankan pada pengamatan langsung sebagai bentuk penerapan teks secara literal, sedangkan di sisi lain terdapat pendekatan yang lebih mengutamakan perhitungan ilmiah sebagai bentuk pemanfaatan perkembangan ilmu pengetahuan. Kedua pendekatan tersebut sama-sama memiliki dasar yang kuat dan tujuan yang sama dalam menjalankan ajaran Islam.</w:t>
      </w:r>
    </w:p>
    <w:p w14:paraId="0231EC4D" w14:textId="5BB1E754" w:rsidR="002C4805" w:rsidRDefault="002C4805" w:rsidP="002C4805">
      <w:pPr>
        <w:spacing w:line="360" w:lineRule="auto"/>
        <w:jc w:val="both"/>
        <w:rPr>
          <w:rFonts w:ascii="Times New Roman" w:hAnsi="Times New Roman" w:cs="Times New Roman"/>
        </w:rPr>
      </w:pPr>
      <w:r>
        <w:rPr>
          <w:rFonts w:ascii="Times New Roman" w:hAnsi="Times New Roman" w:cs="Times New Roman"/>
        </w:rPr>
        <w:t xml:space="preserve">            </w:t>
      </w:r>
      <w:r w:rsidRPr="002C4805">
        <w:rPr>
          <w:rFonts w:ascii="Times New Roman" w:hAnsi="Times New Roman" w:cs="Times New Roman"/>
        </w:rPr>
        <w:t>Selain itu, perbedaan ini juga menunjukkan bahwa Islam memiliki ruang ijtihad yang luas, sehingga memungkinkan adanya keberagaman pendapat di kalangan ulama. Hal ini justru menjadi kekayaan dalam khazanah keilmuan Islam, bukan sebagai sumber perpecahan.</w:t>
      </w:r>
      <w:r w:rsidR="00846874">
        <w:rPr>
          <w:rFonts w:ascii="Times New Roman" w:hAnsi="Times New Roman" w:cs="Times New Roman"/>
        </w:rPr>
        <w:t xml:space="preserve"> </w:t>
      </w:r>
      <w:r w:rsidRPr="002C4805">
        <w:rPr>
          <w:rFonts w:ascii="Times New Roman" w:hAnsi="Times New Roman" w:cs="Times New Roman"/>
        </w:rPr>
        <w:t>Oleh karena itu, penting bagi masyarakat untuk memahami bahwa perbedaan tersebut tidak perlu dipermasalahkan secara berlebihan. Sikap saling menghargai, toleransi, dan kedewasaan dalam menyikapi perbedaan menjadi kunci utama dalam menjaga keharmonisan dan persatuan umat.</w:t>
      </w:r>
    </w:p>
    <w:p w14:paraId="36D7919E" w14:textId="77777777" w:rsidR="002C4805" w:rsidRDefault="002C4805" w:rsidP="002C4805">
      <w:pPr>
        <w:spacing w:line="360" w:lineRule="auto"/>
        <w:jc w:val="both"/>
        <w:rPr>
          <w:rFonts w:ascii="Times New Roman" w:hAnsi="Times New Roman" w:cs="Times New Roman"/>
          <w:b/>
          <w:bCs/>
          <w:sz w:val="28"/>
          <w:szCs w:val="28"/>
        </w:rPr>
      </w:pPr>
    </w:p>
    <w:p w14:paraId="53994468" w14:textId="77777777" w:rsidR="002C4805" w:rsidRDefault="002C4805" w:rsidP="002C4805">
      <w:pPr>
        <w:spacing w:line="360" w:lineRule="auto"/>
        <w:jc w:val="both"/>
        <w:rPr>
          <w:rFonts w:ascii="Times New Roman" w:hAnsi="Times New Roman" w:cs="Times New Roman"/>
          <w:b/>
          <w:bCs/>
          <w:sz w:val="28"/>
          <w:szCs w:val="28"/>
        </w:rPr>
      </w:pPr>
    </w:p>
    <w:p w14:paraId="35B682D4" w14:textId="77777777" w:rsidR="002C4805" w:rsidRDefault="002C4805" w:rsidP="002C4805">
      <w:pPr>
        <w:spacing w:line="360" w:lineRule="auto"/>
        <w:jc w:val="both"/>
        <w:rPr>
          <w:rFonts w:ascii="Times New Roman" w:hAnsi="Times New Roman" w:cs="Times New Roman"/>
          <w:b/>
          <w:bCs/>
          <w:sz w:val="28"/>
          <w:szCs w:val="28"/>
        </w:rPr>
      </w:pPr>
    </w:p>
    <w:p w14:paraId="007F2DDC" w14:textId="77777777" w:rsidR="002C4805" w:rsidRDefault="002C4805" w:rsidP="002C4805">
      <w:pPr>
        <w:spacing w:line="360" w:lineRule="auto"/>
        <w:jc w:val="both"/>
        <w:rPr>
          <w:rFonts w:ascii="Times New Roman" w:hAnsi="Times New Roman" w:cs="Times New Roman"/>
          <w:b/>
          <w:bCs/>
          <w:sz w:val="28"/>
          <w:szCs w:val="28"/>
        </w:rPr>
      </w:pPr>
    </w:p>
    <w:p w14:paraId="1A0972AF" w14:textId="77777777" w:rsidR="002C4805" w:rsidRDefault="002C4805" w:rsidP="002C4805">
      <w:pPr>
        <w:spacing w:line="360" w:lineRule="auto"/>
        <w:jc w:val="both"/>
        <w:rPr>
          <w:rFonts w:ascii="Times New Roman" w:hAnsi="Times New Roman" w:cs="Times New Roman"/>
          <w:b/>
          <w:bCs/>
          <w:sz w:val="28"/>
          <w:szCs w:val="28"/>
        </w:rPr>
      </w:pPr>
    </w:p>
    <w:p w14:paraId="7CF55FBD" w14:textId="77777777" w:rsidR="00CD0D00" w:rsidRDefault="00CD0D00" w:rsidP="00CD0D00">
      <w:pPr>
        <w:spacing w:line="360" w:lineRule="auto"/>
        <w:jc w:val="both"/>
        <w:rPr>
          <w:rFonts w:ascii="Times New Roman" w:hAnsi="Times New Roman" w:cs="Times New Roman"/>
          <w:b/>
          <w:bCs/>
          <w:sz w:val="28"/>
          <w:szCs w:val="28"/>
        </w:rPr>
      </w:pPr>
    </w:p>
    <w:p w14:paraId="5C3B527A" w14:textId="6AD8099B" w:rsidR="00CD0D00" w:rsidRDefault="00CD0D00" w:rsidP="00CD0D00">
      <w:pPr>
        <w:spacing w:line="360" w:lineRule="auto"/>
        <w:jc w:val="both"/>
        <w:rPr>
          <w:rFonts w:ascii="Times New Roman" w:hAnsi="Times New Roman" w:cs="Times New Roman"/>
          <w:b/>
          <w:bCs/>
          <w:sz w:val="28"/>
          <w:szCs w:val="28"/>
        </w:rPr>
      </w:pPr>
      <w:r w:rsidRPr="002C4805">
        <w:rPr>
          <w:rFonts w:ascii="Times New Roman" w:hAnsi="Times New Roman" w:cs="Times New Roman"/>
          <w:b/>
          <w:bCs/>
          <w:sz w:val="28"/>
          <w:szCs w:val="28"/>
        </w:rPr>
        <w:t>Daftar Pustaka</w:t>
      </w:r>
    </w:p>
    <w:p w14:paraId="70E5BD79" w14:textId="05B2E5FA" w:rsidR="00486BFF" w:rsidRPr="00486BFF" w:rsidRDefault="00486BFF" w:rsidP="00486BFF">
      <w:pPr>
        <w:widowControl w:val="0"/>
        <w:autoSpaceDE w:val="0"/>
        <w:autoSpaceDN w:val="0"/>
        <w:adjustRightInd w:val="0"/>
        <w:spacing w:line="360" w:lineRule="auto"/>
        <w:ind w:left="480" w:hanging="480"/>
        <w:jc w:val="both"/>
        <w:rPr>
          <w:rFonts w:ascii="Times New Roman" w:hAnsi="Times New Roman" w:cs="Times New Roman"/>
          <w:noProof/>
          <w:kern w:val="0"/>
          <w:sz w:val="28"/>
        </w:rPr>
      </w:pPr>
      <w:r>
        <w:rPr>
          <w:rFonts w:ascii="Times New Roman" w:hAnsi="Times New Roman" w:cs="Times New Roman"/>
          <w:b/>
          <w:bCs/>
          <w:sz w:val="28"/>
          <w:szCs w:val="28"/>
        </w:rPr>
        <w:fldChar w:fldCharType="begin" w:fldLock="1"/>
      </w:r>
      <w:r>
        <w:rPr>
          <w:rFonts w:ascii="Times New Roman" w:hAnsi="Times New Roman" w:cs="Times New Roman"/>
          <w:b/>
          <w:bCs/>
          <w:sz w:val="28"/>
          <w:szCs w:val="28"/>
        </w:rPr>
        <w:instrText xml:space="preserve">ADDIN Mendeley Bibliography CSL_BIBLIOGRAPHY </w:instrText>
      </w:r>
      <w:r>
        <w:rPr>
          <w:rFonts w:ascii="Times New Roman" w:hAnsi="Times New Roman" w:cs="Times New Roman"/>
          <w:b/>
          <w:bCs/>
          <w:sz w:val="28"/>
          <w:szCs w:val="28"/>
        </w:rPr>
        <w:fldChar w:fldCharType="separate"/>
      </w:r>
      <w:r w:rsidRPr="00486BFF">
        <w:rPr>
          <w:rFonts w:ascii="Times New Roman" w:hAnsi="Times New Roman" w:cs="Times New Roman"/>
          <w:noProof/>
          <w:kern w:val="0"/>
          <w:sz w:val="28"/>
        </w:rPr>
        <w:t xml:space="preserve">Azhari, Susiknan. “Ilmu Falak Dalam Teori Dan Praktik.” </w:t>
      </w:r>
      <w:r w:rsidRPr="00486BFF">
        <w:rPr>
          <w:rFonts w:ascii="Times New Roman" w:hAnsi="Times New Roman" w:cs="Times New Roman"/>
          <w:i/>
          <w:iCs/>
          <w:noProof/>
          <w:kern w:val="0"/>
          <w:sz w:val="28"/>
        </w:rPr>
        <w:t>Jurnal Ilmu Falak</w:t>
      </w:r>
      <w:r w:rsidRPr="00486BFF">
        <w:rPr>
          <w:rFonts w:ascii="Times New Roman" w:hAnsi="Times New Roman" w:cs="Times New Roman"/>
          <w:noProof/>
          <w:kern w:val="0"/>
          <w:sz w:val="28"/>
        </w:rPr>
        <w:t xml:space="preserve"> 3, no. 2 (2011): 120–35.</w:t>
      </w:r>
    </w:p>
    <w:p w14:paraId="38A2B787" w14:textId="77777777" w:rsidR="00486BFF" w:rsidRPr="00486BFF" w:rsidRDefault="00486BFF" w:rsidP="00486BFF">
      <w:pPr>
        <w:widowControl w:val="0"/>
        <w:autoSpaceDE w:val="0"/>
        <w:autoSpaceDN w:val="0"/>
        <w:adjustRightInd w:val="0"/>
        <w:spacing w:line="360" w:lineRule="auto"/>
        <w:ind w:left="480" w:hanging="480"/>
        <w:jc w:val="both"/>
        <w:rPr>
          <w:rFonts w:ascii="Times New Roman" w:hAnsi="Times New Roman" w:cs="Times New Roman"/>
          <w:noProof/>
          <w:kern w:val="0"/>
          <w:sz w:val="28"/>
        </w:rPr>
      </w:pPr>
      <w:r w:rsidRPr="00486BFF">
        <w:rPr>
          <w:rFonts w:ascii="Times New Roman" w:hAnsi="Times New Roman" w:cs="Times New Roman"/>
          <w:noProof/>
          <w:kern w:val="0"/>
          <w:sz w:val="28"/>
        </w:rPr>
        <w:t xml:space="preserve">Izzudin, Ahmad. “Cara Mudah Memahami Perhitungan Awal Bulan.” </w:t>
      </w:r>
      <w:r w:rsidRPr="00486BFF">
        <w:rPr>
          <w:rFonts w:ascii="Times New Roman" w:hAnsi="Times New Roman" w:cs="Times New Roman"/>
          <w:i/>
          <w:iCs/>
          <w:noProof/>
          <w:kern w:val="0"/>
          <w:sz w:val="28"/>
        </w:rPr>
        <w:t>Cara Mudah Memahami Perhitungn Awal Bulan</w:t>
      </w:r>
      <w:r w:rsidRPr="00486BFF">
        <w:rPr>
          <w:rFonts w:ascii="Times New Roman" w:hAnsi="Times New Roman" w:cs="Times New Roman"/>
          <w:noProof/>
          <w:kern w:val="0"/>
          <w:sz w:val="28"/>
        </w:rPr>
        <w:t xml:space="preserve"> 25 (2011).</w:t>
      </w:r>
    </w:p>
    <w:p w14:paraId="55679786" w14:textId="77777777" w:rsidR="00486BFF" w:rsidRPr="00486BFF" w:rsidRDefault="00486BFF" w:rsidP="00486BFF">
      <w:pPr>
        <w:widowControl w:val="0"/>
        <w:autoSpaceDE w:val="0"/>
        <w:autoSpaceDN w:val="0"/>
        <w:adjustRightInd w:val="0"/>
        <w:spacing w:line="360" w:lineRule="auto"/>
        <w:ind w:left="480" w:hanging="480"/>
        <w:jc w:val="both"/>
        <w:rPr>
          <w:rFonts w:ascii="Times New Roman" w:hAnsi="Times New Roman" w:cs="Times New Roman"/>
          <w:noProof/>
          <w:kern w:val="0"/>
          <w:sz w:val="28"/>
        </w:rPr>
      </w:pPr>
      <w:r w:rsidRPr="00486BFF">
        <w:rPr>
          <w:rFonts w:ascii="Times New Roman" w:hAnsi="Times New Roman" w:cs="Times New Roman"/>
          <w:noProof/>
          <w:kern w:val="0"/>
          <w:sz w:val="28"/>
        </w:rPr>
        <w:t xml:space="preserve">Slamet Hambali. “Penentuan Awal Bulan Qamariyah Di Indonesia.” </w:t>
      </w:r>
      <w:r w:rsidRPr="00486BFF">
        <w:rPr>
          <w:rFonts w:ascii="Times New Roman" w:hAnsi="Times New Roman" w:cs="Times New Roman"/>
          <w:i/>
          <w:iCs/>
          <w:noProof/>
          <w:kern w:val="0"/>
          <w:sz w:val="28"/>
        </w:rPr>
        <w:t>Jurnal Falakiyah</w:t>
      </w:r>
      <w:r w:rsidRPr="00486BFF">
        <w:rPr>
          <w:rFonts w:ascii="Times New Roman" w:hAnsi="Times New Roman" w:cs="Times New Roman"/>
          <w:noProof/>
          <w:kern w:val="0"/>
          <w:sz w:val="28"/>
        </w:rPr>
        <w:t xml:space="preserve"> 5, no. 1 (2011): 20–35.</w:t>
      </w:r>
    </w:p>
    <w:p w14:paraId="022CD596" w14:textId="77777777" w:rsidR="00486BFF" w:rsidRPr="00486BFF" w:rsidRDefault="00486BFF" w:rsidP="00486BFF">
      <w:pPr>
        <w:widowControl w:val="0"/>
        <w:autoSpaceDE w:val="0"/>
        <w:autoSpaceDN w:val="0"/>
        <w:adjustRightInd w:val="0"/>
        <w:spacing w:line="360" w:lineRule="auto"/>
        <w:ind w:left="480" w:hanging="480"/>
        <w:jc w:val="both"/>
        <w:rPr>
          <w:rFonts w:ascii="Times New Roman" w:hAnsi="Times New Roman" w:cs="Times New Roman"/>
          <w:noProof/>
        </w:rPr>
      </w:pPr>
      <w:r w:rsidRPr="00486BFF">
        <w:rPr>
          <w:rFonts w:ascii="Times New Roman" w:hAnsi="Times New Roman" w:cs="Times New Roman"/>
          <w:noProof/>
          <w:kern w:val="0"/>
        </w:rPr>
        <w:t xml:space="preserve">Thomas Djamaluddin. “Dinamika Penentuan Awal Bulan Hijriah Di Indoesia.” </w:t>
      </w:r>
      <w:r w:rsidRPr="00486BFF">
        <w:rPr>
          <w:rFonts w:ascii="Times New Roman" w:hAnsi="Times New Roman" w:cs="Times New Roman"/>
          <w:i/>
          <w:iCs/>
          <w:noProof/>
          <w:kern w:val="0"/>
        </w:rPr>
        <w:t>Jurnal Astronomi Indonesia</w:t>
      </w:r>
      <w:r w:rsidRPr="00486BFF">
        <w:rPr>
          <w:rFonts w:ascii="Times New Roman" w:hAnsi="Times New Roman" w:cs="Times New Roman"/>
          <w:noProof/>
          <w:kern w:val="0"/>
        </w:rPr>
        <w:t xml:space="preserve"> 8, no. 1 (2013): 1–10.</w:t>
      </w:r>
    </w:p>
    <w:p w14:paraId="16ADFE54" w14:textId="13D7254C" w:rsidR="00846874" w:rsidRDefault="00486BFF" w:rsidP="00957D44">
      <w:pPr>
        <w:widowControl w:val="0"/>
        <w:autoSpaceDE w:val="0"/>
        <w:autoSpaceDN w:val="0"/>
        <w:adjustRightInd w:val="0"/>
        <w:spacing w:line="360" w:lineRule="auto"/>
        <w:ind w:left="480" w:hanging="480"/>
        <w:jc w:val="both"/>
        <w:rPr>
          <w:rFonts w:ascii="Times New Roman" w:hAnsi="Times New Roman" w:cs="Times New Roman"/>
          <w:b/>
          <w:bCs/>
          <w:sz w:val="28"/>
          <w:szCs w:val="28"/>
        </w:rPr>
      </w:pPr>
      <w:r>
        <w:rPr>
          <w:rFonts w:ascii="Times New Roman" w:hAnsi="Times New Roman" w:cs="Times New Roman"/>
          <w:b/>
          <w:bCs/>
          <w:sz w:val="28"/>
          <w:szCs w:val="28"/>
        </w:rPr>
        <w:fldChar w:fldCharType="end"/>
      </w:r>
    </w:p>
    <w:p w14:paraId="7DA20F2C" w14:textId="77777777" w:rsidR="00846874" w:rsidRDefault="00846874" w:rsidP="002C4805">
      <w:pPr>
        <w:rPr>
          <w:rFonts w:ascii="Times New Roman" w:hAnsi="Times New Roman" w:cs="Times New Roman"/>
          <w:b/>
          <w:bCs/>
          <w:sz w:val="28"/>
          <w:szCs w:val="28"/>
        </w:rPr>
      </w:pPr>
    </w:p>
    <w:p w14:paraId="13E7035B" w14:textId="2C02AC8B" w:rsidR="002C4805" w:rsidRPr="00BF5E62" w:rsidRDefault="002C4805" w:rsidP="002C4805">
      <w:pPr>
        <w:rPr>
          <w:rFonts w:ascii="Times New Roman" w:hAnsi="Times New Roman" w:cs="Times New Roman"/>
          <w:b/>
          <w:bCs/>
          <w:sz w:val="28"/>
          <w:szCs w:val="28"/>
        </w:rPr>
      </w:pPr>
      <w:r w:rsidRPr="00BF5E62">
        <w:rPr>
          <w:rFonts w:ascii="Times New Roman" w:hAnsi="Times New Roman" w:cs="Times New Roman"/>
          <w:b/>
          <w:bCs/>
          <w:sz w:val="28"/>
          <w:szCs w:val="28"/>
        </w:rPr>
        <w:t>Daftar Referensi</w:t>
      </w:r>
    </w:p>
    <w:p w14:paraId="20788165" w14:textId="77777777" w:rsidR="002C4805" w:rsidRPr="00BF5E62" w:rsidRDefault="002C4805" w:rsidP="002C4805">
      <w:pPr>
        <w:numPr>
          <w:ilvl w:val="0"/>
          <w:numId w:val="1"/>
        </w:numPr>
        <w:spacing w:line="360" w:lineRule="auto"/>
        <w:jc w:val="both"/>
        <w:rPr>
          <w:rFonts w:ascii="Times New Roman" w:hAnsi="Times New Roman" w:cs="Times New Roman"/>
        </w:rPr>
      </w:pPr>
      <w:r w:rsidRPr="00BF5E62">
        <w:rPr>
          <w:rFonts w:ascii="Times New Roman" w:hAnsi="Times New Roman" w:cs="Times New Roman"/>
        </w:rPr>
        <w:t xml:space="preserve">Muhammadiyah. </w:t>
      </w:r>
      <w:r w:rsidRPr="00BF5E62">
        <w:rPr>
          <w:rFonts w:ascii="Times New Roman" w:hAnsi="Times New Roman" w:cs="Times New Roman"/>
          <w:i/>
          <w:iCs/>
        </w:rPr>
        <w:t>Hisab Hakiki Wujudul Hilal: Apa dan Bagaimana</w:t>
      </w:r>
      <w:r w:rsidRPr="00BF5E62">
        <w:rPr>
          <w:rFonts w:ascii="Times New Roman" w:hAnsi="Times New Roman" w:cs="Times New Roman"/>
        </w:rPr>
        <w:t>.</w:t>
      </w:r>
    </w:p>
    <w:p w14:paraId="4A08B02B" w14:textId="77777777" w:rsidR="002C4805" w:rsidRPr="00BF5E62" w:rsidRDefault="002C4805" w:rsidP="002C4805">
      <w:pPr>
        <w:numPr>
          <w:ilvl w:val="0"/>
          <w:numId w:val="1"/>
        </w:numPr>
        <w:spacing w:line="360" w:lineRule="auto"/>
        <w:jc w:val="both"/>
        <w:rPr>
          <w:rFonts w:ascii="Times New Roman" w:hAnsi="Times New Roman" w:cs="Times New Roman"/>
        </w:rPr>
      </w:pPr>
      <w:r w:rsidRPr="00BF5E62">
        <w:rPr>
          <w:rFonts w:ascii="Times New Roman" w:hAnsi="Times New Roman" w:cs="Times New Roman"/>
        </w:rPr>
        <w:t xml:space="preserve">NU Online. </w:t>
      </w:r>
      <w:r w:rsidRPr="00BF5E62">
        <w:rPr>
          <w:rFonts w:ascii="Times New Roman" w:hAnsi="Times New Roman" w:cs="Times New Roman"/>
          <w:i/>
          <w:iCs/>
        </w:rPr>
        <w:t>Melihat Lebih Dalam Kriteria Hilal NU dan Muhammadiyah</w:t>
      </w:r>
      <w:r w:rsidRPr="00BF5E62">
        <w:rPr>
          <w:rFonts w:ascii="Times New Roman" w:hAnsi="Times New Roman" w:cs="Times New Roman"/>
        </w:rPr>
        <w:t>.</w:t>
      </w:r>
    </w:p>
    <w:p w14:paraId="4A5B4F77" w14:textId="77777777" w:rsidR="002C4805" w:rsidRPr="00BF5E62" w:rsidRDefault="002C4805" w:rsidP="002C4805">
      <w:pPr>
        <w:numPr>
          <w:ilvl w:val="0"/>
          <w:numId w:val="1"/>
        </w:numPr>
        <w:spacing w:line="360" w:lineRule="auto"/>
        <w:jc w:val="both"/>
        <w:rPr>
          <w:rFonts w:ascii="Times New Roman" w:hAnsi="Times New Roman" w:cs="Times New Roman"/>
        </w:rPr>
      </w:pPr>
      <w:r w:rsidRPr="00BF5E62">
        <w:rPr>
          <w:rFonts w:ascii="Times New Roman" w:hAnsi="Times New Roman" w:cs="Times New Roman"/>
        </w:rPr>
        <w:t xml:space="preserve">IAIN Kediri. </w:t>
      </w:r>
      <w:r w:rsidRPr="00BF5E62">
        <w:rPr>
          <w:rFonts w:ascii="Times New Roman" w:hAnsi="Times New Roman" w:cs="Times New Roman"/>
          <w:i/>
          <w:iCs/>
        </w:rPr>
        <w:t>Perbandingan Metode Penentuan Awal Bulan Hijriyah</w:t>
      </w:r>
      <w:r w:rsidRPr="00BF5E62">
        <w:rPr>
          <w:rFonts w:ascii="Times New Roman" w:hAnsi="Times New Roman" w:cs="Times New Roman"/>
        </w:rPr>
        <w:t>.</w:t>
      </w:r>
    </w:p>
    <w:p w14:paraId="2C046D03" w14:textId="77777777" w:rsidR="002C4805" w:rsidRPr="00BF5E62" w:rsidRDefault="002C4805" w:rsidP="002C4805">
      <w:pPr>
        <w:numPr>
          <w:ilvl w:val="0"/>
          <w:numId w:val="1"/>
        </w:numPr>
        <w:spacing w:line="360" w:lineRule="auto"/>
        <w:jc w:val="both"/>
        <w:rPr>
          <w:rFonts w:ascii="Times New Roman" w:hAnsi="Times New Roman" w:cs="Times New Roman"/>
        </w:rPr>
      </w:pPr>
      <w:r w:rsidRPr="00BF5E62">
        <w:rPr>
          <w:rFonts w:ascii="Times New Roman" w:hAnsi="Times New Roman" w:cs="Times New Roman"/>
        </w:rPr>
        <w:t>Jurnal dan sumber terkait ilmu falak serta penentuan awal bulan Hijriyah.</w:t>
      </w:r>
    </w:p>
    <w:p w14:paraId="40D6CB54" w14:textId="77777777" w:rsidR="002C4805" w:rsidRPr="00BF5E62" w:rsidRDefault="002C4805" w:rsidP="002C4805">
      <w:pPr>
        <w:numPr>
          <w:ilvl w:val="0"/>
          <w:numId w:val="2"/>
        </w:numPr>
        <w:spacing w:line="360" w:lineRule="auto"/>
        <w:jc w:val="both"/>
        <w:rPr>
          <w:rFonts w:ascii="Times New Roman" w:hAnsi="Times New Roman" w:cs="Times New Roman"/>
        </w:rPr>
      </w:pPr>
      <w:hyperlink r:id="rId8" w:tgtFrame="_new" w:history="1">
        <w:r w:rsidRPr="00BF5E62">
          <w:rPr>
            <w:rStyle w:val="Hyperlink"/>
            <w:rFonts w:ascii="Times New Roman" w:hAnsi="Times New Roman" w:cs="Times New Roman"/>
          </w:rPr>
          <w:t>https://muhammadiyah.or.id/2022/02/hisab-hakiki-wujudul-hilal-apa-dan-bagaimana/</w:t>
        </w:r>
      </w:hyperlink>
      <w:r w:rsidRPr="00BF5E62">
        <w:rPr>
          <w:rFonts w:ascii="Times New Roman" w:hAnsi="Times New Roman" w:cs="Times New Roman"/>
        </w:rPr>
        <w:t xml:space="preserve"> </w:t>
      </w:r>
      <w:r w:rsidRPr="00BF5E62">
        <w:rPr>
          <w:rFonts w:ascii="Cambria Math" w:hAnsi="Cambria Math" w:cs="Cambria Math"/>
        </w:rPr>
        <w:t>↩</w:t>
      </w:r>
    </w:p>
    <w:p w14:paraId="0B433B0C" w14:textId="77777777" w:rsidR="002C4805" w:rsidRPr="00BF5E62" w:rsidRDefault="002C4805" w:rsidP="002C4805">
      <w:pPr>
        <w:numPr>
          <w:ilvl w:val="0"/>
          <w:numId w:val="2"/>
        </w:numPr>
        <w:spacing w:line="360" w:lineRule="auto"/>
        <w:jc w:val="both"/>
        <w:rPr>
          <w:rFonts w:ascii="Times New Roman" w:hAnsi="Times New Roman" w:cs="Times New Roman"/>
        </w:rPr>
      </w:pPr>
      <w:hyperlink r:id="rId9" w:tgtFrame="_new" w:history="1">
        <w:r w:rsidRPr="00BF5E62">
          <w:rPr>
            <w:rStyle w:val="Hyperlink"/>
            <w:rFonts w:ascii="Times New Roman" w:hAnsi="Times New Roman" w:cs="Times New Roman"/>
          </w:rPr>
          <w:t>https://www.nu.or.id/lapsus/melihat-lebih-dalam-kriteria-hilal-nu-dan-muhammadiyah-lLlVz</w:t>
        </w:r>
      </w:hyperlink>
      <w:r w:rsidRPr="00BF5E62">
        <w:rPr>
          <w:rFonts w:ascii="Times New Roman" w:hAnsi="Times New Roman" w:cs="Times New Roman"/>
        </w:rPr>
        <w:t xml:space="preserve"> </w:t>
      </w:r>
      <w:r w:rsidRPr="00BF5E62">
        <w:rPr>
          <w:rFonts w:ascii="Cambria Math" w:hAnsi="Cambria Math" w:cs="Cambria Math"/>
        </w:rPr>
        <w:t>↩</w:t>
      </w:r>
    </w:p>
    <w:p w14:paraId="2D3CF38F" w14:textId="77777777" w:rsidR="002C4805" w:rsidRPr="00BF5E62" w:rsidRDefault="002C4805" w:rsidP="002C4805">
      <w:pPr>
        <w:numPr>
          <w:ilvl w:val="0"/>
          <w:numId w:val="2"/>
        </w:numPr>
        <w:spacing w:line="360" w:lineRule="auto"/>
        <w:jc w:val="both"/>
        <w:rPr>
          <w:rFonts w:ascii="Times New Roman" w:hAnsi="Times New Roman" w:cs="Times New Roman"/>
        </w:rPr>
      </w:pPr>
      <w:hyperlink r:id="rId10" w:tgtFrame="_new" w:history="1">
        <w:r w:rsidRPr="00BF5E62">
          <w:rPr>
            <w:rStyle w:val="Hyperlink"/>
            <w:rFonts w:ascii="Times New Roman" w:hAnsi="Times New Roman" w:cs="Times New Roman"/>
          </w:rPr>
          <w:t>https://etheses.iainkediri.ac.id/7857/3/931112518_bab%20II.pdf</w:t>
        </w:r>
      </w:hyperlink>
      <w:r w:rsidRPr="00BF5E62">
        <w:rPr>
          <w:rFonts w:ascii="Times New Roman" w:hAnsi="Times New Roman" w:cs="Times New Roman"/>
        </w:rPr>
        <w:t xml:space="preserve"> </w:t>
      </w:r>
      <w:r w:rsidRPr="00BF5E62">
        <w:rPr>
          <w:rFonts w:ascii="Cambria Math" w:hAnsi="Cambria Math" w:cs="Cambria Math"/>
        </w:rPr>
        <w:t>↩</w:t>
      </w:r>
    </w:p>
    <w:p w14:paraId="16587145" w14:textId="77777777" w:rsidR="002C4805" w:rsidRPr="00BF5E62" w:rsidRDefault="002C4805" w:rsidP="002C4805">
      <w:pPr>
        <w:numPr>
          <w:ilvl w:val="0"/>
          <w:numId w:val="2"/>
        </w:numPr>
        <w:spacing w:line="360" w:lineRule="auto"/>
        <w:jc w:val="both"/>
        <w:rPr>
          <w:rFonts w:ascii="Times New Roman" w:hAnsi="Times New Roman" w:cs="Times New Roman"/>
        </w:rPr>
      </w:pPr>
      <w:hyperlink r:id="rId11" w:tgtFrame="_new" w:history="1">
        <w:r w:rsidRPr="00BF5E62">
          <w:rPr>
            <w:rStyle w:val="Hyperlink"/>
            <w:rFonts w:ascii="Times New Roman" w:hAnsi="Times New Roman" w:cs="Times New Roman"/>
          </w:rPr>
          <w:t>https://muhammadiyah.or.id/2022/02/hisab-hakiki-wujudul-hilal-apa-dan-bagaimana/</w:t>
        </w:r>
      </w:hyperlink>
      <w:r w:rsidRPr="00BF5E62">
        <w:rPr>
          <w:rFonts w:ascii="Times New Roman" w:hAnsi="Times New Roman" w:cs="Times New Roman"/>
        </w:rPr>
        <w:t xml:space="preserve"> </w:t>
      </w:r>
      <w:r w:rsidRPr="00BF5E62">
        <w:rPr>
          <w:rFonts w:ascii="Cambria Math" w:hAnsi="Cambria Math" w:cs="Cambria Math"/>
        </w:rPr>
        <w:t>↩</w:t>
      </w:r>
    </w:p>
    <w:p w14:paraId="59FE2002" w14:textId="77777777" w:rsidR="002C4805" w:rsidRPr="00BF5E62" w:rsidRDefault="002C4805" w:rsidP="002C4805"/>
    <w:p w14:paraId="5308CE81" w14:textId="77777777" w:rsidR="002C4805" w:rsidRPr="002C4805" w:rsidRDefault="002C4805" w:rsidP="002C4805">
      <w:pPr>
        <w:spacing w:line="360" w:lineRule="auto"/>
        <w:jc w:val="both"/>
        <w:rPr>
          <w:rFonts w:ascii="Times New Roman" w:hAnsi="Times New Roman" w:cs="Times New Roman"/>
          <w:b/>
          <w:bCs/>
          <w:sz w:val="28"/>
          <w:szCs w:val="28"/>
        </w:rPr>
      </w:pPr>
    </w:p>
    <w:p w14:paraId="38E420AD" w14:textId="77777777" w:rsidR="001261D1" w:rsidRPr="002C4805" w:rsidRDefault="001261D1" w:rsidP="001261D1">
      <w:pPr>
        <w:spacing w:line="360" w:lineRule="auto"/>
        <w:jc w:val="both"/>
        <w:rPr>
          <w:rFonts w:ascii="Times New Roman" w:hAnsi="Times New Roman" w:cs="Times New Roman"/>
        </w:rPr>
      </w:pPr>
    </w:p>
    <w:p w14:paraId="739166AF" w14:textId="77777777" w:rsidR="001261D1" w:rsidRPr="002C4805" w:rsidRDefault="001261D1" w:rsidP="000B438C">
      <w:pPr>
        <w:spacing w:line="360" w:lineRule="auto"/>
        <w:jc w:val="both"/>
        <w:rPr>
          <w:rFonts w:ascii="Times New Roman" w:hAnsi="Times New Roman" w:cs="Times New Roman"/>
        </w:rPr>
      </w:pPr>
    </w:p>
    <w:p w14:paraId="76AC4C6B" w14:textId="77777777" w:rsidR="000B438C" w:rsidRPr="000D3DF5" w:rsidRDefault="000B438C" w:rsidP="000B438C">
      <w:pPr>
        <w:spacing w:line="360" w:lineRule="auto"/>
        <w:jc w:val="both"/>
        <w:rPr>
          <w:rFonts w:ascii="Times New Roman" w:hAnsi="Times New Roman" w:cs="Times New Roman"/>
          <w:sz w:val="18"/>
          <w:szCs w:val="18"/>
        </w:rPr>
      </w:pPr>
    </w:p>
    <w:p w14:paraId="6FD9F87C" w14:textId="77777777" w:rsidR="000D3DF5" w:rsidRDefault="000D3DF5">
      <w:pPr>
        <w:rPr>
          <w:rFonts w:ascii="Times New Roman" w:hAnsi="Times New Roman" w:cs="Times New Roman"/>
          <w:sz w:val="18"/>
          <w:szCs w:val="18"/>
        </w:rPr>
      </w:pPr>
    </w:p>
    <w:p w14:paraId="0BA3AB9A" w14:textId="77777777" w:rsidR="000D3DF5" w:rsidRDefault="000D3DF5">
      <w:pPr>
        <w:rPr>
          <w:rFonts w:ascii="Times New Roman" w:hAnsi="Times New Roman" w:cs="Times New Roman"/>
          <w:sz w:val="18"/>
          <w:szCs w:val="18"/>
        </w:rPr>
      </w:pPr>
    </w:p>
    <w:p w14:paraId="08E0914B" w14:textId="77777777" w:rsidR="000D3DF5" w:rsidRPr="000D3DF5" w:rsidRDefault="000D3DF5">
      <w:pPr>
        <w:rPr>
          <w:rFonts w:ascii="Times New Roman" w:hAnsi="Times New Roman" w:cs="Times New Roman"/>
          <w:sz w:val="18"/>
          <w:szCs w:val="18"/>
        </w:rPr>
      </w:pPr>
    </w:p>
    <w:sectPr w:rsidR="000D3DF5" w:rsidRPr="000D3DF5" w:rsidSect="000D3DF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E3F19" w14:textId="77777777" w:rsidR="005A3673" w:rsidRDefault="005A3673" w:rsidP="00D20D69">
      <w:pPr>
        <w:spacing w:after="0" w:line="240" w:lineRule="auto"/>
      </w:pPr>
      <w:r>
        <w:separator/>
      </w:r>
    </w:p>
  </w:endnote>
  <w:endnote w:type="continuationSeparator" w:id="0">
    <w:p w14:paraId="3E674F68" w14:textId="77777777" w:rsidR="005A3673" w:rsidRDefault="005A3673" w:rsidP="00D20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1BCC2" w14:textId="77777777" w:rsidR="005A3673" w:rsidRDefault="005A3673" w:rsidP="00D20D69">
      <w:pPr>
        <w:spacing w:after="0" w:line="240" w:lineRule="auto"/>
      </w:pPr>
      <w:r>
        <w:separator/>
      </w:r>
    </w:p>
  </w:footnote>
  <w:footnote w:type="continuationSeparator" w:id="0">
    <w:p w14:paraId="535E891B" w14:textId="77777777" w:rsidR="005A3673" w:rsidRDefault="005A3673" w:rsidP="00D20D69">
      <w:pPr>
        <w:spacing w:after="0" w:line="240" w:lineRule="auto"/>
      </w:pPr>
      <w:r>
        <w:continuationSeparator/>
      </w:r>
    </w:p>
  </w:footnote>
  <w:footnote w:id="1">
    <w:p w14:paraId="389651EB" w14:textId="347A0A20" w:rsidR="00CD0D00" w:rsidRDefault="00CD0D00">
      <w:pPr>
        <w:pStyle w:val="FootnoteText"/>
      </w:pPr>
      <w:r>
        <w:rPr>
          <w:rStyle w:val="FootnoteReference"/>
        </w:rPr>
        <w:footnoteRef/>
      </w:r>
      <w:r>
        <w:t xml:space="preserve"> </w:t>
      </w:r>
      <w:r>
        <w:fldChar w:fldCharType="begin" w:fldLock="1"/>
      </w:r>
      <w:r>
        <w:instrText>ADDIN CSL_CITATION {"citationItems":[{"id":"ITEM-1","itemData":{"author":[{"dropping-particle":"","family":"Azhari","given":"Susiknan","non-dropping-particle":"","parse-names":false,"suffix":""}],"container-title":"jurnal ilmu falak","id":"ITEM-1","issue":"2","issued":{"date-parts":[["2011"]]},"page":"120-135","title":"ilmu falak dalam teori dan praktik","type":"article-journal","volume":"3"},"uris":["http://www.mendeley.com/documents/?uuid=9bea8603-2212-49b7-a9f5-e1c62b1c8bc3"]}],"mendeley":{"formattedCitation":"Susiknan Azhari, “Ilmu Falak Dalam Teori Dan Praktik,” &lt;i&gt;Jurnal Ilmu Falak&lt;/i&gt; 3, no. 2 (2011): 120–35.","plainTextFormattedCitation":"Susiknan Azhari, “Ilmu Falak Dalam Teori Dan Praktik,” Jurnal Ilmu Falak 3, no. 2 (2011): 120–35.","previouslyFormattedCitation":"Susiknan Azhari, “Ilmu Falak Dalam Teori Dan Praktik,” &lt;i&gt;Jurnal Ilmu Falak&lt;/i&gt; 3, no. 2 (2011): 120–35."},"properties":{"noteIndex":1},"schema":"https://github.com/citation-style-language/schema/raw/master/csl-citation.json"}</w:instrText>
      </w:r>
      <w:r>
        <w:fldChar w:fldCharType="separate"/>
      </w:r>
      <w:r w:rsidRPr="00CD0D00">
        <w:rPr>
          <w:noProof/>
        </w:rPr>
        <w:t xml:space="preserve">Susiknan Azhari, “Ilmu Falak Dalam Teori Dan Praktik,” </w:t>
      </w:r>
      <w:r w:rsidRPr="00CD0D00">
        <w:rPr>
          <w:i/>
          <w:noProof/>
        </w:rPr>
        <w:t>Jurnal Ilmu Falak</w:t>
      </w:r>
      <w:r w:rsidRPr="00CD0D00">
        <w:rPr>
          <w:noProof/>
        </w:rPr>
        <w:t xml:space="preserve"> 3, no. 2 (2011): 120–35.</w:t>
      </w:r>
      <w:r>
        <w:fldChar w:fldCharType="end"/>
      </w:r>
    </w:p>
  </w:footnote>
  <w:footnote w:id="2">
    <w:p w14:paraId="6A070BA7" w14:textId="065E9B20" w:rsidR="00DB6327" w:rsidRDefault="00DB6327">
      <w:pPr>
        <w:pStyle w:val="FootnoteText"/>
      </w:pPr>
      <w:r>
        <w:rPr>
          <w:rStyle w:val="FootnoteReference"/>
        </w:rPr>
        <w:footnoteRef/>
      </w:r>
      <w:r>
        <w:t xml:space="preserve"> </w:t>
      </w:r>
      <w:r>
        <w:fldChar w:fldCharType="begin" w:fldLock="1"/>
      </w:r>
      <w:r w:rsidR="00486BFF">
        <w:instrText>ADDIN CSL_CITATION {"citationItems":[{"id":"ITEM-1","itemData":{"author":[{"dropping-particle":"","family":"Thomas Djamaluddin","given":"","non-dropping-particle":"","parse-names":false,"suffix":""}],"container-title":"jurnal astronomi indonesia","id":"ITEM-1","issue":"1","issued":{"date-parts":[["2013"]]},"page":"1-10","title":"dinamika penentuan awal bulan hijriah di indoesia","type":"article-journal","volume":"8"},"uris":["http://www.mendeley.com/documents/?uuid=9b387d26-e171-4d87-add5-a6f5b132a914"]}],"mendeley":{"formattedCitation":"Thomas Djamaluddin, “Dinamika Penentuan Awal Bulan Hijriah Di Indoesia,” &lt;i&gt;Jurnal Astronomi Indonesia&lt;/i&gt; 8, no. 1 (2013): 1–10.","plainTextFormattedCitation":"Thomas Djamaluddin, “Dinamika Penentuan Awal Bulan Hijriah Di Indoesia,” Jurnal Astronomi Indonesia 8, no. 1 (2013): 1–10.","previouslyFormattedCitation":"Thomas Djamaluddin, “Dinamika Penentuan Awal Bulan Hijriah Di Indoesia,” &lt;i&gt;Jurnal Astronomi Indonesia&lt;/i&gt; 8, no. 1 (2013): 1–10."},"properties":{"noteIndex":2},"schema":"https://github.com/citation-style-language/schema/raw/master/csl-citation.json"}</w:instrText>
      </w:r>
      <w:r>
        <w:fldChar w:fldCharType="separate"/>
      </w:r>
      <w:r w:rsidR="00CD0D00" w:rsidRPr="00CD0D00">
        <w:rPr>
          <w:noProof/>
        </w:rPr>
        <w:t xml:space="preserve">Thomas Djamaluddin, “Dinamika Penentuan Awal Bulan Hijriah Di Indoesia,” </w:t>
      </w:r>
      <w:r w:rsidR="00CD0D00" w:rsidRPr="00CD0D00">
        <w:rPr>
          <w:i/>
          <w:noProof/>
        </w:rPr>
        <w:t>Jurnal Astronomi Indonesia</w:t>
      </w:r>
      <w:r w:rsidR="00CD0D00" w:rsidRPr="00CD0D00">
        <w:rPr>
          <w:noProof/>
        </w:rPr>
        <w:t xml:space="preserve"> 8, no. 1 (2013): 1–10.</w:t>
      </w:r>
      <w:r>
        <w:fldChar w:fldCharType="end"/>
      </w:r>
    </w:p>
  </w:footnote>
  <w:footnote w:id="3">
    <w:p w14:paraId="02302BCD" w14:textId="41D0CD19" w:rsidR="00CD0D00" w:rsidRDefault="00CD0D00">
      <w:pPr>
        <w:pStyle w:val="FootnoteText"/>
      </w:pPr>
      <w:r>
        <w:rPr>
          <w:rStyle w:val="FootnoteReference"/>
        </w:rPr>
        <w:footnoteRef/>
      </w:r>
      <w:r>
        <w:t xml:space="preserve"> </w:t>
      </w:r>
      <w:r>
        <w:fldChar w:fldCharType="begin" w:fldLock="1"/>
      </w:r>
      <w:r w:rsidR="00486BFF">
        <w:instrText>ADDIN CSL_CITATION {"citationItems":[{"id":"ITEM-1","itemData":{"author":[{"dropping-particle":"","family":"Izzudin","given":"Ahmad","non-dropping-particle":"","parse-names":false,"suffix":""}],"container-title":"cara mudah memahami perhitungn awal bulan","id":"ITEM-1","issued":{"date-parts":[["2011"]]},"title":"cara mudah memahami perhitungan awal bulan","type":"article-journal","volume":"25"},"uris":["http://www.mendeley.com/documents/?uuid=2ee704cc-dcbc-48c6-bbb5-b157958b829b"]}],"mendeley":{"formattedCitation":"Ahmad Izzudin, “Cara Mudah Memahami Perhitungan Awal Bulan,” &lt;i&gt;Cara Mudah Memahami Perhitungn Awal Bulan&lt;/i&gt; 25 (2011).","plainTextFormattedCitation":"Ahmad Izzudin, “Cara Mudah Memahami Perhitungan Awal Bulan,” Cara Mudah Memahami Perhitungn Awal Bulan 25 (2011).","previouslyFormattedCitation":"Ahmad Izzudin, “Cara Mudah Memahami Perhitungan Awal Bulan,” &lt;i&gt;Cara Mudah Memahami Perhitungn Awal Bulan&lt;/i&gt; 25 (2011)."},"properties":{"noteIndex":3},"schema":"https://github.com/citation-style-language/schema/raw/master/csl-citation.json"}</w:instrText>
      </w:r>
      <w:r>
        <w:fldChar w:fldCharType="separate"/>
      </w:r>
      <w:r w:rsidR="00486BFF" w:rsidRPr="00486BFF">
        <w:rPr>
          <w:noProof/>
        </w:rPr>
        <w:t xml:space="preserve">Ahmad Izzudin, “Cara Mudah Memahami Perhitungan Awal Bulan,” </w:t>
      </w:r>
      <w:r w:rsidR="00486BFF" w:rsidRPr="00486BFF">
        <w:rPr>
          <w:i/>
          <w:noProof/>
        </w:rPr>
        <w:t>Cara Mudah Memahami Perhitungn Awal Bulan</w:t>
      </w:r>
      <w:r w:rsidR="00486BFF" w:rsidRPr="00486BFF">
        <w:rPr>
          <w:noProof/>
        </w:rPr>
        <w:t xml:space="preserve"> 25 (2011).</w:t>
      </w:r>
      <w:r>
        <w:fldChar w:fldCharType="end"/>
      </w:r>
    </w:p>
  </w:footnote>
  <w:footnote w:id="4">
    <w:p w14:paraId="70B23B12" w14:textId="7F02DC87" w:rsidR="00DB6327" w:rsidRDefault="00DB6327">
      <w:pPr>
        <w:pStyle w:val="FootnoteText"/>
      </w:pPr>
      <w:r>
        <w:rPr>
          <w:rStyle w:val="FootnoteReference"/>
        </w:rPr>
        <w:footnoteRef/>
      </w:r>
      <w:r>
        <w:t xml:space="preserve"> </w:t>
      </w:r>
      <w:r>
        <w:fldChar w:fldCharType="begin" w:fldLock="1"/>
      </w:r>
      <w:r w:rsidR="00CD0D00">
        <w:instrText>ADDIN CSL_CITATION {"citationItems":[{"id":"ITEM-1","itemData":{"author":[{"dropping-particle":"","family":"Azhari","given":"Susiknan","non-dropping-particle":"","parse-names":false,"suffix":""}],"container-title":"jurnal ilmu falak","id":"ITEM-1","issue":"2","issued":{"date-parts":[["2011"]]},"page":"120-135","title":"ilmu falak dalam teori dan praktik","type":"article-journal","volume":"3"},"uris":["http://www.mendeley.com/documents/?uuid=9bea8603-2212-49b7-a9f5-e1c62b1c8bc3"]}],"mendeley":{"formattedCitation":"Azhari, “Ilmu Falak Dalam Teori Dan Praktik.”","plainTextFormattedCitation":"Azhari, “Ilmu Falak Dalam Teori Dan Praktik.”","previouslyFormattedCitation":"Azhari, “Ilmu Falak Dalam Teori Dan Praktik.”"},"properties":{"noteIndex":4},"schema":"https://github.com/citation-style-language/schema/raw/master/csl-citation.json"}</w:instrText>
      </w:r>
      <w:r>
        <w:fldChar w:fldCharType="separate"/>
      </w:r>
      <w:r w:rsidR="00CD0D00" w:rsidRPr="00CD0D00">
        <w:rPr>
          <w:noProof/>
        </w:rPr>
        <w:t>Azhari, “Ilmu Falak Dalam Teori Dan Praktik.”</w:t>
      </w:r>
      <w:r>
        <w:fldChar w:fldCharType="end"/>
      </w:r>
    </w:p>
  </w:footnote>
  <w:footnote w:id="5">
    <w:p w14:paraId="01DFD108" w14:textId="2AD02709" w:rsidR="00486BFF" w:rsidRDefault="00486BFF">
      <w:pPr>
        <w:pStyle w:val="FootnoteText"/>
      </w:pPr>
      <w:r>
        <w:rPr>
          <w:rStyle w:val="FootnoteReference"/>
        </w:rPr>
        <w:footnoteRef/>
      </w:r>
      <w:r>
        <w:t xml:space="preserve"> </w:t>
      </w:r>
      <w:r>
        <w:fldChar w:fldCharType="begin" w:fldLock="1"/>
      </w:r>
      <w:r>
        <w:instrText>ADDIN CSL_CITATION {"citationItems":[{"id":"ITEM-1","itemData":{"author":[{"dropping-particle":"","family":"Slamet Hambali","given":"","non-dropping-particle":"","parse-names":false,"suffix":""}],"container-title":"jurnal falakiyah","id":"ITEM-1","issue":"1","issued":{"date-parts":[["2011"]]},"page":"20-35","title":"Penentuan Awal Bulan Qamariyah di Indonesia","type":"article-journal","volume":"5"},"uris":["http://www.mendeley.com/documents/?uuid=3fbf332f-368a-400b-988f-512177b3f2d9"]}],"mendeley":{"formattedCitation":"Slamet Hambali, “Penentuan Awal Bulan Qamariyah Di Indonesia,” &lt;i&gt;Jurnal Falakiyah&lt;/i&gt; 5, no. 1 (2011): 20–35.","plainTextFormattedCitation":"Slamet Hambali, “Penentuan Awal Bulan Qamariyah Di Indonesia,” Jurnal Falakiyah 5, no. 1 (2011): 20–35.","previouslyFormattedCitation":"Slamet Hambali, “Penentuan Awal Bulan Qamariyah Di Indonesia,” &lt;i&gt;Jurnal Falakiyah&lt;/i&gt; 5, no. 1 (2011): 20–35."},"properties":{"noteIndex":5},"schema":"https://github.com/citation-style-language/schema/raw/master/csl-citation.json"}</w:instrText>
      </w:r>
      <w:r>
        <w:fldChar w:fldCharType="separate"/>
      </w:r>
      <w:r w:rsidRPr="00486BFF">
        <w:rPr>
          <w:noProof/>
        </w:rPr>
        <w:t xml:space="preserve">Slamet Hambali, “Penentuan Awal Bulan Qamariyah Di Indonesia,” </w:t>
      </w:r>
      <w:r w:rsidRPr="00486BFF">
        <w:rPr>
          <w:i/>
          <w:noProof/>
        </w:rPr>
        <w:t>Jurnal Falakiyah</w:t>
      </w:r>
      <w:r w:rsidRPr="00486BFF">
        <w:rPr>
          <w:noProof/>
        </w:rPr>
        <w:t xml:space="preserve"> 5, no. 1 (2011): 20–35.</w:t>
      </w:r>
      <w:r>
        <w:fldChar w:fldCharType="end"/>
      </w:r>
    </w:p>
  </w:footnote>
  <w:footnote w:id="6">
    <w:p w14:paraId="5F43866E" w14:textId="7EE9A4B7" w:rsidR="00486BFF" w:rsidRDefault="00486BFF">
      <w:pPr>
        <w:pStyle w:val="FootnoteText"/>
      </w:pPr>
      <w:r>
        <w:rPr>
          <w:rStyle w:val="FootnoteReference"/>
        </w:rPr>
        <w:footnoteRef/>
      </w:r>
      <w:r>
        <w:t xml:space="preserve"> </w:t>
      </w:r>
      <w:r>
        <w:fldChar w:fldCharType="begin" w:fldLock="1"/>
      </w:r>
      <w:r>
        <w:instrText>ADDIN CSL_CITATION {"citationItems":[{"id":"ITEM-1","itemData":{"author":[{"dropping-particle":"","family":"Izzudin","given":"Ahmad","non-dropping-particle":"","parse-names":false,"suffix":""}],"container-title":"cara mudah memahami perhitungn awal bulan","id":"ITEM-1","issued":{"date-parts":[["2011"]]},"title":"cara mudah memahami perhitungan awal bulan","type":"article-journal","volume":"25"},"uris":["http://www.mendeley.com/documents/?uuid=2ee704cc-dcbc-48c6-bbb5-b157958b829b"]}],"mendeley":{"formattedCitation":"Izzudin, “Cara Mudah Memahami Perhitungan Awal Bulan.”","plainTextFormattedCitation":"Izzudin, “Cara Mudah Memahami Perhitungan Awal Bulan.”","previouslyFormattedCitation":"Izzudin, “Cara Mudah Memahami Perhitungan Awal Bulan.”"},"properties":{"noteIndex":6},"schema":"https://github.com/citation-style-language/schema/raw/master/csl-citation.json"}</w:instrText>
      </w:r>
      <w:r>
        <w:fldChar w:fldCharType="separate"/>
      </w:r>
      <w:r w:rsidRPr="00486BFF">
        <w:rPr>
          <w:noProof/>
        </w:rPr>
        <w:t>Izzudin, “Cara Mudah Memahami Perhitungan Awal Bulan.”</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307A0"/>
    <w:multiLevelType w:val="multilevel"/>
    <w:tmpl w:val="7D26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0C5A1D"/>
    <w:multiLevelType w:val="multilevel"/>
    <w:tmpl w:val="ACBC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576255">
    <w:abstractNumId w:val="0"/>
  </w:num>
  <w:num w:numId="2" w16cid:durableId="2035034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38C"/>
    <w:rsid w:val="0000251A"/>
    <w:rsid w:val="00085FE3"/>
    <w:rsid w:val="000B438C"/>
    <w:rsid w:val="000D3DF5"/>
    <w:rsid w:val="001261D1"/>
    <w:rsid w:val="00175A98"/>
    <w:rsid w:val="002952C0"/>
    <w:rsid w:val="002C4805"/>
    <w:rsid w:val="002F3534"/>
    <w:rsid w:val="003B1BC3"/>
    <w:rsid w:val="00486BFF"/>
    <w:rsid w:val="005A3673"/>
    <w:rsid w:val="00602871"/>
    <w:rsid w:val="008055F1"/>
    <w:rsid w:val="00846874"/>
    <w:rsid w:val="00895741"/>
    <w:rsid w:val="00957D44"/>
    <w:rsid w:val="00C0560B"/>
    <w:rsid w:val="00CD0D00"/>
    <w:rsid w:val="00D20D69"/>
    <w:rsid w:val="00DB6327"/>
    <w:rsid w:val="00E86B79"/>
    <w:rsid w:val="00F8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695BF"/>
  <w15:chartTrackingRefBased/>
  <w15:docId w15:val="{D2262E98-EDCF-42DA-84AA-53B8F832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38C"/>
  </w:style>
  <w:style w:type="paragraph" w:styleId="Heading1">
    <w:name w:val="heading 1"/>
    <w:basedOn w:val="Normal"/>
    <w:next w:val="Normal"/>
    <w:link w:val="Heading1Char"/>
    <w:uiPriority w:val="9"/>
    <w:qFormat/>
    <w:rsid w:val="000B4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3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3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3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3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38C"/>
    <w:rPr>
      <w:rFonts w:eastAsiaTheme="majorEastAsia" w:cstheme="majorBidi"/>
      <w:color w:val="272727" w:themeColor="text1" w:themeTint="D8"/>
    </w:rPr>
  </w:style>
  <w:style w:type="paragraph" w:styleId="Title">
    <w:name w:val="Title"/>
    <w:basedOn w:val="Normal"/>
    <w:next w:val="Normal"/>
    <w:link w:val="TitleChar"/>
    <w:uiPriority w:val="10"/>
    <w:qFormat/>
    <w:rsid w:val="000B4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38C"/>
    <w:pPr>
      <w:spacing w:before="160"/>
      <w:jc w:val="center"/>
    </w:pPr>
    <w:rPr>
      <w:i/>
      <w:iCs/>
      <w:color w:val="404040" w:themeColor="text1" w:themeTint="BF"/>
    </w:rPr>
  </w:style>
  <w:style w:type="character" w:customStyle="1" w:styleId="QuoteChar">
    <w:name w:val="Quote Char"/>
    <w:basedOn w:val="DefaultParagraphFont"/>
    <w:link w:val="Quote"/>
    <w:uiPriority w:val="29"/>
    <w:rsid w:val="000B438C"/>
    <w:rPr>
      <w:i/>
      <w:iCs/>
      <w:color w:val="404040" w:themeColor="text1" w:themeTint="BF"/>
    </w:rPr>
  </w:style>
  <w:style w:type="paragraph" w:styleId="ListParagraph">
    <w:name w:val="List Paragraph"/>
    <w:basedOn w:val="Normal"/>
    <w:uiPriority w:val="34"/>
    <w:qFormat/>
    <w:rsid w:val="000B438C"/>
    <w:pPr>
      <w:ind w:left="720"/>
      <w:contextualSpacing/>
    </w:pPr>
  </w:style>
  <w:style w:type="character" w:styleId="IntenseEmphasis">
    <w:name w:val="Intense Emphasis"/>
    <w:basedOn w:val="DefaultParagraphFont"/>
    <w:uiPriority w:val="21"/>
    <w:qFormat/>
    <w:rsid w:val="000B438C"/>
    <w:rPr>
      <w:i/>
      <w:iCs/>
      <w:color w:val="2F5496" w:themeColor="accent1" w:themeShade="BF"/>
    </w:rPr>
  </w:style>
  <w:style w:type="paragraph" w:styleId="IntenseQuote">
    <w:name w:val="Intense Quote"/>
    <w:basedOn w:val="Normal"/>
    <w:next w:val="Normal"/>
    <w:link w:val="IntenseQuoteChar"/>
    <w:uiPriority w:val="30"/>
    <w:qFormat/>
    <w:rsid w:val="000B4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38C"/>
    <w:rPr>
      <w:i/>
      <w:iCs/>
      <w:color w:val="2F5496" w:themeColor="accent1" w:themeShade="BF"/>
    </w:rPr>
  </w:style>
  <w:style w:type="character" w:styleId="IntenseReference">
    <w:name w:val="Intense Reference"/>
    <w:basedOn w:val="DefaultParagraphFont"/>
    <w:uiPriority w:val="32"/>
    <w:qFormat/>
    <w:rsid w:val="000B438C"/>
    <w:rPr>
      <w:b/>
      <w:bCs/>
      <w:smallCaps/>
      <w:color w:val="2F5496" w:themeColor="accent1" w:themeShade="BF"/>
      <w:spacing w:val="5"/>
    </w:rPr>
  </w:style>
  <w:style w:type="table" w:styleId="TableGrid">
    <w:name w:val="Table Grid"/>
    <w:basedOn w:val="TableNormal"/>
    <w:uiPriority w:val="39"/>
    <w:rsid w:val="000D3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4805"/>
    <w:rPr>
      <w:color w:val="0563C1" w:themeColor="hyperlink"/>
      <w:u w:val="single"/>
    </w:rPr>
  </w:style>
  <w:style w:type="paragraph" w:styleId="FootnoteText">
    <w:name w:val="footnote text"/>
    <w:basedOn w:val="Normal"/>
    <w:link w:val="FootnoteTextChar"/>
    <w:uiPriority w:val="99"/>
    <w:semiHidden/>
    <w:unhideWhenUsed/>
    <w:rsid w:val="00D20D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0D69"/>
    <w:rPr>
      <w:sz w:val="20"/>
      <w:szCs w:val="20"/>
    </w:rPr>
  </w:style>
  <w:style w:type="character" w:styleId="FootnoteReference">
    <w:name w:val="footnote reference"/>
    <w:basedOn w:val="DefaultParagraphFont"/>
    <w:uiPriority w:val="99"/>
    <w:semiHidden/>
    <w:unhideWhenUsed/>
    <w:rsid w:val="00D20D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hammadiyah.or.id/2022/02/hisab-hakiki-wujudul-hilal-apa-dan-bagaiman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hammadiyah.or.id/2022/02/hisab-hakiki-wujudul-hilal-apa-dan-bagaimana/" TargetMode="External"/><Relationship Id="rId5" Type="http://schemas.openxmlformats.org/officeDocument/2006/relationships/webSettings" Target="webSettings.xml"/><Relationship Id="rId10" Type="http://schemas.openxmlformats.org/officeDocument/2006/relationships/hyperlink" Target="https://etheses.iainkediri.ac.id/7857/3/931112518_bab%20II.pdf" TargetMode="External"/><Relationship Id="rId4" Type="http://schemas.openxmlformats.org/officeDocument/2006/relationships/settings" Target="settings.xml"/><Relationship Id="rId9" Type="http://schemas.openxmlformats.org/officeDocument/2006/relationships/hyperlink" Target="https://www.nu.or.id/lapsus/melihat-lebih-dalam-kriteria-hilal-nu-dan-muhammadiyah-lLlV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EF04A-68D4-4B2C-804F-CC04A7A5F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ynoviana443@gmail.com</dc:creator>
  <cp:keywords/>
  <dc:description/>
  <cp:lastModifiedBy>ynoviana443@gmail.com</cp:lastModifiedBy>
  <cp:revision>7</cp:revision>
  <dcterms:created xsi:type="dcterms:W3CDTF">2026-04-15T03:52:00Z</dcterms:created>
  <dcterms:modified xsi:type="dcterms:W3CDTF">2026-04-22T03:51:00Z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http://www.zotero.org/styles/chicago-fullnote-bibliography</vt:lpwstr>
  </property>
  <property fmtid="{D5CDD505-2E9C-101B-9397-08002B2CF9AE}" pid="4" name="Mendeley Unique User Id_1">
    <vt:lpwstr>dc25a900-6203-3e90-bd24-019ef2a7c018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