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AD8" w:rsidRPr="00043AD8" w:rsidRDefault="00043AD8">
      <w:pPr>
        <w:rPr>
          <w:b/>
          <w:bCs/>
          <w:lang w:val="en-GB"/>
        </w:rPr>
      </w:pPr>
      <w:r w:rsidRPr="00043AD8">
        <w:rPr>
          <w:b/>
          <w:bCs/>
          <w:lang w:val="en-GB"/>
        </w:rPr>
        <w:t>Nama</w:t>
      </w:r>
      <w:r>
        <w:rPr>
          <w:b/>
          <w:bCs/>
          <w:lang w:val="en-GB"/>
        </w:rPr>
        <w:tab/>
      </w:r>
      <w:r w:rsidRPr="00043AD8">
        <w:rPr>
          <w:b/>
          <w:bCs/>
          <w:lang w:val="en-GB"/>
        </w:rPr>
        <w:t xml:space="preserve">: </w:t>
      </w:r>
      <w:proofErr w:type="spellStart"/>
      <w:r w:rsidRPr="00043AD8">
        <w:rPr>
          <w:b/>
          <w:bCs/>
          <w:lang w:val="en-GB"/>
        </w:rPr>
        <w:t>Himmatul</w:t>
      </w:r>
      <w:proofErr w:type="spellEnd"/>
      <w:r w:rsidRPr="00043AD8">
        <w:rPr>
          <w:b/>
          <w:bCs/>
          <w:lang w:val="en-GB"/>
        </w:rPr>
        <w:t xml:space="preserve"> </w:t>
      </w:r>
      <w:proofErr w:type="spellStart"/>
      <w:r w:rsidRPr="00043AD8">
        <w:rPr>
          <w:b/>
          <w:bCs/>
          <w:lang w:val="en-GB"/>
        </w:rPr>
        <w:t>Fitria</w:t>
      </w:r>
      <w:proofErr w:type="spellEnd"/>
      <w:r w:rsidRPr="00043AD8">
        <w:rPr>
          <w:b/>
          <w:bCs/>
          <w:lang w:val="en-GB"/>
        </w:rPr>
        <w:t xml:space="preserve"> (23051096)</w:t>
      </w:r>
    </w:p>
    <w:p w:rsidR="00043AD8" w:rsidRDefault="00043AD8">
      <w:pPr>
        <w:rPr>
          <w:b/>
          <w:bCs/>
          <w:lang w:val="en-GB"/>
        </w:rPr>
      </w:pPr>
      <w:proofErr w:type="spellStart"/>
      <w:r w:rsidRPr="00043AD8">
        <w:rPr>
          <w:b/>
          <w:bCs/>
          <w:lang w:val="en-GB"/>
        </w:rPr>
        <w:t>Kelas</w:t>
      </w:r>
      <w:proofErr w:type="spellEnd"/>
      <w:r>
        <w:rPr>
          <w:b/>
          <w:bCs/>
          <w:lang w:val="en-GB"/>
        </w:rPr>
        <w:tab/>
      </w:r>
      <w:r w:rsidRPr="00043AD8">
        <w:rPr>
          <w:b/>
          <w:bCs/>
          <w:lang w:val="en-GB"/>
        </w:rPr>
        <w:t>:</w:t>
      </w:r>
      <w:r w:rsidR="00C72BD4">
        <w:rPr>
          <w:b/>
          <w:bCs/>
          <w:lang w:val="en-GB"/>
        </w:rPr>
        <w:t xml:space="preserve"> </w:t>
      </w:r>
      <w:r w:rsidRPr="00043AD8">
        <w:rPr>
          <w:b/>
          <w:bCs/>
          <w:lang w:val="en-GB"/>
        </w:rPr>
        <w:t>PAI C</w:t>
      </w:r>
    </w:p>
    <w:p w:rsidR="00043AD8" w:rsidRPr="00043AD8" w:rsidRDefault="00043AD8">
      <w:pPr>
        <w:rPr>
          <w:b/>
          <w:bCs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1"/>
        <w:gridCol w:w="2713"/>
        <w:gridCol w:w="2672"/>
      </w:tblGrid>
      <w:tr w:rsidR="00043AD8" w:rsidTr="00043AD8">
        <w:tc>
          <w:tcPr>
            <w:tcW w:w="3631" w:type="dxa"/>
          </w:tcPr>
          <w:p w:rsidR="00043AD8" w:rsidRPr="00043AD8" w:rsidRDefault="00043AD8" w:rsidP="0077757F">
            <w:pPr>
              <w:jc w:val="center"/>
              <w:rPr>
                <w:lang w:val="en-GB"/>
              </w:rPr>
            </w:pPr>
            <w:proofErr w:type="spellStart"/>
            <w:r w:rsidRPr="00E93006">
              <w:rPr>
                <w:b/>
                <w:bCs/>
                <w:lang w:val="en-GB"/>
              </w:rPr>
              <w:t>Hukum</w:t>
            </w:r>
            <w:proofErr w:type="spellEnd"/>
            <w:r w:rsidRPr="00E93006">
              <w:rPr>
                <w:b/>
                <w:bCs/>
                <w:lang w:val="en-GB"/>
              </w:rPr>
              <w:t xml:space="preserve"> </w:t>
            </w:r>
            <w:proofErr w:type="spellStart"/>
            <w:r w:rsidRPr="00E93006">
              <w:rPr>
                <w:b/>
                <w:bCs/>
                <w:lang w:val="en-GB"/>
              </w:rPr>
              <w:t>memakai</w:t>
            </w:r>
            <w:proofErr w:type="spellEnd"/>
            <w:r w:rsidRPr="00E93006">
              <w:rPr>
                <w:b/>
                <w:bCs/>
                <w:lang w:val="en-GB"/>
              </w:rPr>
              <w:t xml:space="preserve"> E-Wallet</w:t>
            </w:r>
          </w:p>
        </w:tc>
        <w:tc>
          <w:tcPr>
            <w:tcW w:w="2713" w:type="dxa"/>
          </w:tcPr>
          <w:p w:rsidR="00043AD8" w:rsidRPr="00E93006" w:rsidRDefault="00043AD8" w:rsidP="0077757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E93006">
              <w:rPr>
                <w:b/>
                <w:bCs/>
                <w:lang w:val="en-GB"/>
              </w:rPr>
              <w:t>Pendapat</w:t>
            </w:r>
            <w:proofErr w:type="spellEnd"/>
            <w:r w:rsidRPr="00E93006">
              <w:rPr>
                <w:b/>
                <w:bCs/>
                <w:lang w:val="en-GB"/>
              </w:rPr>
              <w:t xml:space="preserve"> </w:t>
            </w:r>
            <w:proofErr w:type="spellStart"/>
            <w:r w:rsidRPr="00E93006">
              <w:rPr>
                <w:b/>
                <w:bCs/>
                <w:lang w:val="en-GB"/>
              </w:rPr>
              <w:t>pertama</w:t>
            </w:r>
            <w:proofErr w:type="spellEnd"/>
          </w:p>
        </w:tc>
        <w:tc>
          <w:tcPr>
            <w:tcW w:w="2672" w:type="dxa"/>
          </w:tcPr>
          <w:p w:rsidR="00043AD8" w:rsidRPr="00E93006" w:rsidRDefault="00043AD8" w:rsidP="0077757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E93006">
              <w:rPr>
                <w:b/>
                <w:bCs/>
                <w:lang w:val="en-GB"/>
              </w:rPr>
              <w:t>Pendapat</w:t>
            </w:r>
            <w:proofErr w:type="spellEnd"/>
            <w:r w:rsidRPr="00E93006">
              <w:rPr>
                <w:b/>
                <w:bCs/>
                <w:lang w:val="en-GB"/>
              </w:rPr>
              <w:t xml:space="preserve"> </w:t>
            </w:r>
            <w:proofErr w:type="spellStart"/>
            <w:r w:rsidRPr="00E93006">
              <w:rPr>
                <w:b/>
                <w:bCs/>
                <w:lang w:val="en-GB"/>
              </w:rPr>
              <w:t>kedua</w:t>
            </w:r>
            <w:proofErr w:type="spellEnd"/>
          </w:p>
        </w:tc>
      </w:tr>
      <w:tr w:rsidR="00043AD8" w:rsidTr="00043AD8">
        <w:tc>
          <w:tcPr>
            <w:tcW w:w="3631" w:type="dxa"/>
          </w:tcPr>
          <w:p w:rsidR="00043AD8" w:rsidRPr="00043AD8" w:rsidRDefault="00043AD8" w:rsidP="00043AD8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043AD8">
              <w:rPr>
                <w:b/>
                <w:bCs/>
                <w:lang w:val="en-GB"/>
              </w:rPr>
              <w:t>Pendapat</w:t>
            </w:r>
            <w:proofErr w:type="spellEnd"/>
            <w:r w:rsidRPr="00043AD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043AD8">
              <w:rPr>
                <w:b/>
                <w:bCs/>
                <w:lang w:val="en-GB"/>
              </w:rPr>
              <w:t>Ulama</w:t>
            </w:r>
            <w:bookmarkStart w:id="0" w:name="_GoBack"/>
            <w:bookmarkEnd w:id="0"/>
            <w:proofErr w:type="spellEnd"/>
          </w:p>
        </w:tc>
        <w:tc>
          <w:tcPr>
            <w:tcW w:w="2713" w:type="dxa"/>
          </w:tcPr>
          <w:p w:rsidR="00043AD8" w:rsidRPr="00043AD8" w:rsidRDefault="00043AD8" w:rsidP="00892C96">
            <w:pPr>
              <w:rPr>
                <w:lang w:val="en-GB"/>
              </w:rPr>
            </w:pPr>
            <w:r>
              <w:rPr>
                <w:lang w:val="en-GB"/>
              </w:rPr>
              <w:t>P</w:t>
            </w:r>
            <w:r>
              <w:t>enggunaan e-wallet hukumnya boleh (mubah) selama memenuhi prinsip-prinsip syariah, seperti tidak mengandung riba, tidak ada unsur penipuan, serta akad yang digunakan jelas</w:t>
            </w:r>
            <w:r>
              <w:rPr>
                <w:lang w:val="en-GB"/>
              </w:rPr>
              <w:t xml:space="preserve"> (</w:t>
            </w:r>
            <w:proofErr w:type="spellStart"/>
            <w:r>
              <w:rPr>
                <w:lang w:val="en-GB"/>
              </w:rPr>
              <w:t>Membolehkan</w:t>
            </w:r>
            <w:proofErr w:type="spellEnd"/>
            <w:r>
              <w:rPr>
                <w:lang w:val="en-GB"/>
              </w:rPr>
              <w:t>)</w:t>
            </w:r>
            <w:r w:rsidR="00892C96">
              <w:rPr>
                <w:lang w:val="en-GB"/>
              </w:rPr>
              <w:t>.</w:t>
            </w:r>
            <w:r w:rsidR="00892C96">
              <w:rPr>
                <w:rStyle w:val="FootnoteReference"/>
                <w:lang w:val="en-GB"/>
              </w:rPr>
              <w:footnoteReference w:id="1"/>
            </w:r>
          </w:p>
        </w:tc>
        <w:tc>
          <w:tcPr>
            <w:tcW w:w="2672" w:type="dxa"/>
          </w:tcPr>
          <w:p w:rsidR="00043AD8" w:rsidRPr="00043AD8" w:rsidRDefault="00043AD8">
            <w:pPr>
              <w:rPr>
                <w:lang w:val="en-GB"/>
              </w:rPr>
            </w:pPr>
            <w:r w:rsidRPr="00E93006">
              <w:t>P</w:t>
            </w:r>
            <w:r>
              <w:t>enggunaan e-wallet tidak diperbolehkan jika di dalamnya terdapat unsur-unsur yang dilarang syariat, seperti adanya bunga, biaya tambahan yang tidak jelas, atau potensi penyalahgunaan dana</w:t>
            </w:r>
            <w:r>
              <w:rPr>
                <w:lang w:val="en-GB"/>
              </w:rPr>
              <w:t xml:space="preserve"> (</w:t>
            </w:r>
            <w:proofErr w:type="spellStart"/>
            <w:r>
              <w:rPr>
                <w:lang w:val="en-GB"/>
              </w:rPr>
              <w:t>Melarang</w:t>
            </w:r>
            <w:proofErr w:type="spellEnd"/>
            <w:r>
              <w:rPr>
                <w:lang w:val="en-GB"/>
              </w:rPr>
              <w:t>)</w:t>
            </w:r>
            <w:r w:rsidR="00892C96">
              <w:rPr>
                <w:lang w:val="en-GB"/>
              </w:rPr>
              <w:t>.</w:t>
            </w:r>
            <w:r w:rsidR="00892C96">
              <w:rPr>
                <w:rStyle w:val="FootnoteReference"/>
                <w:lang w:val="en-GB"/>
              </w:rPr>
              <w:footnoteReference w:id="2"/>
            </w:r>
          </w:p>
        </w:tc>
      </w:tr>
      <w:tr w:rsidR="00043AD8" w:rsidTr="00043AD8">
        <w:tc>
          <w:tcPr>
            <w:tcW w:w="3631" w:type="dxa"/>
          </w:tcPr>
          <w:p w:rsidR="00043AD8" w:rsidRPr="00043AD8" w:rsidRDefault="00043AD8" w:rsidP="00043AD8">
            <w:pPr>
              <w:jc w:val="center"/>
              <w:rPr>
                <w:b/>
                <w:bCs/>
                <w:rtl/>
                <w:lang w:val="en-GB"/>
              </w:rPr>
            </w:pPr>
            <w:proofErr w:type="spellStart"/>
            <w:r w:rsidRPr="00043AD8">
              <w:rPr>
                <w:b/>
                <w:bCs/>
                <w:lang w:val="en-GB"/>
              </w:rPr>
              <w:t>Dalil</w:t>
            </w:r>
            <w:proofErr w:type="spellEnd"/>
          </w:p>
        </w:tc>
        <w:tc>
          <w:tcPr>
            <w:tcW w:w="2713" w:type="dxa"/>
          </w:tcPr>
          <w:p w:rsidR="00043AD8" w:rsidRDefault="00043AD8">
            <w:r>
              <w:rPr>
                <w:rtl/>
              </w:rPr>
              <w:t>يَا أَيُّهَا الَّذِينَ آمَنُوا أَوْفُوا بِالْعُقُودِ</w:t>
            </w:r>
          </w:p>
          <w:p w:rsidR="00043AD8" w:rsidRPr="00AC65C1" w:rsidRDefault="00043AD8" w:rsidP="00AC65C1">
            <w:pPr>
              <w:rPr>
                <w:lang w:val="en-GB"/>
              </w:rPr>
            </w:pPr>
            <w:r>
              <w:t>Artinya: “Wahai orang-orang yang beriman, penuhilah akad-akad itu.” (QS. Al-Ma’idah: 1)</w:t>
            </w:r>
            <w:r w:rsidR="00AC65C1">
              <w:rPr>
                <w:lang w:val="en-GB"/>
              </w:rPr>
              <w:t>.</w:t>
            </w:r>
            <w:r w:rsidR="00AC65C1">
              <w:rPr>
                <w:rStyle w:val="FootnoteReference"/>
                <w:lang w:val="en-GB"/>
              </w:rPr>
              <w:footnoteReference w:id="3"/>
            </w:r>
          </w:p>
        </w:tc>
        <w:tc>
          <w:tcPr>
            <w:tcW w:w="2672" w:type="dxa"/>
          </w:tcPr>
          <w:p w:rsidR="00043AD8" w:rsidRDefault="00043AD8">
            <w:r>
              <w:rPr>
                <w:rtl/>
              </w:rPr>
              <w:t>وَأَحَلَّ اللَّهُ الْبَيْعَ وَحَرَّمَ الرِّبَا</w:t>
            </w:r>
          </w:p>
          <w:p w:rsidR="00043AD8" w:rsidRPr="00B779FF" w:rsidRDefault="00043AD8">
            <w:pPr>
              <w:rPr>
                <w:lang w:val="en-GB"/>
              </w:rPr>
            </w:pPr>
            <w:r>
              <w:t>Artinya: “Allah menghalalkan jual beli dan mengharamkan riba.” (QS. Al-Baqarah: 275)</w:t>
            </w:r>
            <w:r w:rsidR="00B779FF">
              <w:rPr>
                <w:lang w:val="en-GB"/>
              </w:rPr>
              <w:t>.</w:t>
            </w:r>
            <w:r w:rsidR="00B779FF">
              <w:rPr>
                <w:rStyle w:val="FootnoteReference"/>
                <w:lang w:val="en-GB"/>
              </w:rPr>
              <w:footnoteReference w:id="4"/>
            </w:r>
          </w:p>
        </w:tc>
      </w:tr>
      <w:tr w:rsidR="00043AD8" w:rsidTr="00043AD8">
        <w:tc>
          <w:tcPr>
            <w:tcW w:w="3631" w:type="dxa"/>
          </w:tcPr>
          <w:p w:rsidR="00043AD8" w:rsidRPr="00043AD8" w:rsidRDefault="00043AD8" w:rsidP="00043AD8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043AD8">
              <w:rPr>
                <w:b/>
                <w:bCs/>
                <w:lang w:val="en-GB"/>
              </w:rPr>
              <w:t>Metode</w:t>
            </w:r>
            <w:proofErr w:type="spellEnd"/>
          </w:p>
        </w:tc>
        <w:tc>
          <w:tcPr>
            <w:tcW w:w="2713" w:type="dxa"/>
          </w:tcPr>
          <w:p w:rsidR="00043AD8" w:rsidRPr="00B779FF" w:rsidRDefault="00043AD8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Menggunakan</w:t>
            </w:r>
            <w:proofErr w:type="spellEnd"/>
            <w:r>
              <w:rPr>
                <w:lang w:val="en-GB"/>
              </w:rPr>
              <w:t xml:space="preserve"> </w:t>
            </w:r>
            <w:r>
              <w:t>pendekatan maqashid syariah, yaitu melihat kemaslahatan dalam kemudahan transaksi</w:t>
            </w:r>
            <w:r w:rsidR="00B779FF">
              <w:rPr>
                <w:lang w:val="en-GB"/>
              </w:rPr>
              <w:t>.</w:t>
            </w:r>
            <w:r w:rsidR="00B779FF">
              <w:rPr>
                <w:rStyle w:val="FootnoteReference"/>
                <w:lang w:val="en-GB"/>
              </w:rPr>
              <w:footnoteReference w:id="5"/>
            </w:r>
          </w:p>
        </w:tc>
        <w:tc>
          <w:tcPr>
            <w:tcW w:w="2672" w:type="dxa"/>
          </w:tcPr>
          <w:p w:rsidR="00043AD8" w:rsidRPr="00B779FF" w:rsidRDefault="00043AD8">
            <w:pPr>
              <w:rPr>
                <w:lang w:val="en-GB"/>
              </w:rPr>
            </w:pPr>
            <w:r>
              <w:t xml:space="preserve">Pendapat kedua menggunakan metode </w:t>
            </w:r>
            <w:r>
              <w:rPr>
                <w:rtl/>
              </w:rPr>
              <w:t>سد الذرائع</w:t>
            </w:r>
            <w:r>
              <w:t xml:space="preserve"> (sadd al-dzari’ah), yaitu menutup jalan menuju hal yang haram, </w:t>
            </w:r>
            <w:r w:rsidR="00C72BD4" w:rsidRPr="00C72BD4">
              <w:t xml:space="preserve"> </w:t>
            </w:r>
            <w:r>
              <w:t>serta kehati-hatian (ihtiyat) dalam muamalah untuk menghindari potensi riba dan ketidakjelasan akad</w:t>
            </w:r>
            <w:r w:rsidR="00B779FF">
              <w:rPr>
                <w:lang w:val="en-GB"/>
              </w:rPr>
              <w:t>.</w:t>
            </w:r>
            <w:r w:rsidR="00B779FF">
              <w:rPr>
                <w:rStyle w:val="FootnoteReference"/>
                <w:lang w:val="en-GB"/>
              </w:rPr>
              <w:footnoteReference w:id="6"/>
            </w:r>
          </w:p>
        </w:tc>
      </w:tr>
      <w:tr w:rsidR="00043AD8" w:rsidTr="00043AD8">
        <w:tc>
          <w:tcPr>
            <w:tcW w:w="3631" w:type="dxa"/>
          </w:tcPr>
          <w:p w:rsidR="00043AD8" w:rsidRPr="00043AD8" w:rsidRDefault="00043AD8" w:rsidP="00043AD8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043AD8">
              <w:rPr>
                <w:b/>
                <w:bCs/>
                <w:lang w:val="en-GB"/>
              </w:rPr>
              <w:t>Alasan</w:t>
            </w:r>
            <w:proofErr w:type="spellEnd"/>
          </w:p>
        </w:tc>
        <w:tc>
          <w:tcPr>
            <w:tcW w:w="2713" w:type="dxa"/>
          </w:tcPr>
          <w:p w:rsidR="00043AD8" w:rsidRPr="00B779FF" w:rsidRDefault="00043AD8">
            <w:pPr>
              <w:rPr>
                <w:lang w:val="en-GB"/>
              </w:rPr>
            </w:pPr>
            <w:r>
              <w:t>Ulama yang membolehkan berpendapat bahwa e-wallet memberikan kemudahan, efisiensi</w:t>
            </w:r>
            <w:r>
              <w:rPr>
                <w:lang w:val="en-GB"/>
              </w:rPr>
              <w:t>, s</w:t>
            </w:r>
            <w:r>
              <w:t>elama tidak ada unsur haram, maka penggunaannya sah</w:t>
            </w:r>
            <w:r w:rsidR="00B779FF">
              <w:rPr>
                <w:lang w:val="en-GB"/>
              </w:rPr>
              <w:t>.</w:t>
            </w:r>
            <w:r w:rsidR="00EC1B3B">
              <w:rPr>
                <w:rStyle w:val="FootnoteReference"/>
                <w:lang w:val="en-GB"/>
              </w:rPr>
              <w:footnoteReference w:id="7"/>
            </w:r>
          </w:p>
        </w:tc>
        <w:tc>
          <w:tcPr>
            <w:tcW w:w="2672" w:type="dxa"/>
          </w:tcPr>
          <w:p w:rsidR="00043AD8" w:rsidRPr="00EC1B3B" w:rsidRDefault="00043AD8">
            <w:pPr>
              <w:rPr>
                <w:lang w:val="en-GB"/>
              </w:rPr>
            </w:pPr>
            <w:r>
              <w:t>Ulama yang melarang beralasan bahwa sistem e-wallet berpotensi mengandung riba tersembunyi, seperti cashback bersyarat atau bunga saldo, serta adanya ketidakjelasan dalam pengelolaan dana oleh pihak ketiga</w:t>
            </w:r>
            <w:r w:rsidR="00EC1B3B">
              <w:rPr>
                <w:lang w:val="en-GB"/>
              </w:rPr>
              <w:t>.</w:t>
            </w:r>
            <w:r w:rsidR="00EC1B3B">
              <w:rPr>
                <w:rStyle w:val="FootnoteReference"/>
                <w:lang w:val="en-GB"/>
              </w:rPr>
              <w:footnoteReference w:id="8"/>
            </w:r>
          </w:p>
        </w:tc>
      </w:tr>
      <w:tr w:rsidR="00043AD8" w:rsidTr="00043AD8">
        <w:tc>
          <w:tcPr>
            <w:tcW w:w="3631" w:type="dxa"/>
          </w:tcPr>
          <w:p w:rsidR="00043AD8" w:rsidRPr="00043AD8" w:rsidRDefault="00043AD8" w:rsidP="00043AD8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043AD8">
              <w:rPr>
                <w:b/>
                <w:bCs/>
                <w:lang w:val="en-GB"/>
              </w:rPr>
              <w:t>Kelemahan</w:t>
            </w:r>
            <w:proofErr w:type="spellEnd"/>
          </w:p>
        </w:tc>
        <w:tc>
          <w:tcPr>
            <w:tcW w:w="2713" w:type="dxa"/>
          </w:tcPr>
          <w:p w:rsidR="00043AD8" w:rsidRPr="00EC1B3B" w:rsidRDefault="00043AD8">
            <w:pPr>
              <w:rPr>
                <w:lang w:val="en-GB"/>
              </w:rPr>
            </w:pPr>
            <w:r>
              <w:t xml:space="preserve">Kelemahan pendapat </w:t>
            </w:r>
            <w:r>
              <w:lastRenderedPageBreak/>
              <w:t>pertama adalah kurangnya kehati-hatian terhadap potensi praktik riba terselubung dan ketergantungan pada sistem digital yang tidak sepenuhnya transparan bagi pengguna</w:t>
            </w:r>
            <w:r w:rsidR="00EC1B3B">
              <w:rPr>
                <w:lang w:val="en-GB"/>
              </w:rPr>
              <w:t>.</w:t>
            </w:r>
            <w:r w:rsidR="00EC1B3B">
              <w:rPr>
                <w:rStyle w:val="FootnoteReference"/>
                <w:lang w:val="en-GB"/>
              </w:rPr>
              <w:footnoteReference w:id="9"/>
            </w:r>
          </w:p>
        </w:tc>
        <w:tc>
          <w:tcPr>
            <w:tcW w:w="2672" w:type="dxa"/>
          </w:tcPr>
          <w:p w:rsidR="00043AD8" w:rsidRPr="003114B5" w:rsidRDefault="00043AD8">
            <w:pPr>
              <w:rPr>
                <w:lang w:val="en-GB"/>
              </w:rPr>
            </w:pPr>
            <w:r>
              <w:lastRenderedPageBreak/>
              <w:t xml:space="preserve">Kelemahan pendapat kedua </w:t>
            </w:r>
            <w:r>
              <w:lastRenderedPageBreak/>
              <w:t>adalah cenderung terlalu ketat sehingga dapat menghambat perkembangan teknologi dan mengabaikan aspek kemaslahatan serta kebutuhan masyarakat modern</w:t>
            </w:r>
            <w:r w:rsidR="006E5D94">
              <w:rPr>
                <w:lang w:val="en-GB"/>
              </w:rPr>
              <w:t>.</w:t>
            </w:r>
            <w:r w:rsidR="006E5D94">
              <w:rPr>
                <w:rStyle w:val="FootnoteReference"/>
                <w:lang w:val="en-GB"/>
              </w:rPr>
              <w:footnoteReference w:id="10"/>
            </w:r>
          </w:p>
        </w:tc>
      </w:tr>
      <w:tr w:rsidR="00043AD8" w:rsidTr="00043AD8">
        <w:tc>
          <w:tcPr>
            <w:tcW w:w="3631" w:type="dxa"/>
          </w:tcPr>
          <w:p w:rsidR="00043AD8" w:rsidRPr="00043AD8" w:rsidRDefault="00043AD8" w:rsidP="00043AD8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043AD8">
              <w:rPr>
                <w:b/>
                <w:bCs/>
                <w:lang w:val="en-GB"/>
              </w:rPr>
              <w:lastRenderedPageBreak/>
              <w:t>Kekuatan</w:t>
            </w:r>
            <w:proofErr w:type="spellEnd"/>
          </w:p>
        </w:tc>
        <w:tc>
          <w:tcPr>
            <w:tcW w:w="2713" w:type="dxa"/>
          </w:tcPr>
          <w:p w:rsidR="00043AD8" w:rsidRPr="006E5D94" w:rsidRDefault="00043AD8">
            <w:pPr>
              <w:rPr>
                <w:lang w:val="en-GB"/>
              </w:rPr>
            </w:pPr>
            <w:r>
              <w:t>Kekuatan pendapat pertama terletak pada fleksibilitasnya dalam menghadapi perkembangan zaman serta kesesuaiannya dengan prinsip dasar muamalah yang memudahkan manusia</w:t>
            </w:r>
            <w:r w:rsidR="006E5D94">
              <w:rPr>
                <w:lang w:val="en-GB"/>
              </w:rPr>
              <w:t>.</w:t>
            </w:r>
            <w:r w:rsidR="00A9634F">
              <w:rPr>
                <w:rStyle w:val="FootnoteReference"/>
                <w:lang w:val="en-GB"/>
              </w:rPr>
              <w:footnoteReference w:id="11"/>
            </w:r>
          </w:p>
        </w:tc>
        <w:tc>
          <w:tcPr>
            <w:tcW w:w="2672" w:type="dxa"/>
          </w:tcPr>
          <w:p w:rsidR="00043AD8" w:rsidRDefault="00043AD8" w:rsidP="003114B5">
            <w:r>
              <w:t>Kekuatan pendapat kedua adalah sikap kehati-hatian dalam menjaga umat dari praktik riba dan transaksi yang tidak jelas, sehingga lebih menjaga aspek kehati-hatian syariah.</w:t>
            </w:r>
            <w:r w:rsidR="003114B5">
              <w:rPr>
                <w:rStyle w:val="FootnoteReference"/>
              </w:rPr>
              <w:footnoteReference w:id="12"/>
            </w:r>
          </w:p>
        </w:tc>
      </w:tr>
      <w:tr w:rsidR="00043AD8" w:rsidTr="00043AD8">
        <w:tc>
          <w:tcPr>
            <w:tcW w:w="3631" w:type="dxa"/>
          </w:tcPr>
          <w:p w:rsidR="00043AD8" w:rsidRPr="00043AD8" w:rsidRDefault="00043AD8" w:rsidP="00043AD8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043AD8">
              <w:rPr>
                <w:rFonts w:eastAsia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Para </w:t>
            </w:r>
            <w:proofErr w:type="spellStart"/>
            <w:r w:rsidRPr="00043AD8">
              <w:rPr>
                <w:rFonts w:eastAsia="Times New Roman" w:cs="Times New Roman"/>
                <w:b/>
                <w:bCs/>
                <w:sz w:val="24"/>
                <w:szCs w:val="24"/>
                <w:lang w:val="en-GB" w:eastAsia="en-GB"/>
              </w:rPr>
              <w:t>ulama</w:t>
            </w:r>
            <w:proofErr w:type="spellEnd"/>
          </w:p>
        </w:tc>
        <w:tc>
          <w:tcPr>
            <w:tcW w:w="2713" w:type="dxa"/>
          </w:tcPr>
          <w:p w:rsidR="00043AD8" w:rsidRPr="00043AD8" w:rsidRDefault="00043AD8" w:rsidP="00043AD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043AD8">
              <w:rPr>
                <w:rFonts w:eastAsia="Times New Roman" w:cs="Times New Roman"/>
                <w:sz w:val="24"/>
                <w:szCs w:val="24"/>
                <w:lang w:val="en-GB" w:eastAsia="en-GB"/>
              </w:rPr>
              <w:t>Yusuf al-</w:t>
            </w:r>
            <w:proofErr w:type="spellStart"/>
            <w:r w:rsidRPr="00043AD8">
              <w:rPr>
                <w:rFonts w:eastAsia="Times New Roman" w:cs="Times New Roman"/>
                <w:sz w:val="24"/>
                <w:szCs w:val="24"/>
                <w:lang w:val="en-GB" w:eastAsia="en-GB"/>
              </w:rPr>
              <w:t>Qaradawi</w:t>
            </w:r>
            <w:proofErr w:type="spellEnd"/>
            <w:r w:rsidR="003114B5">
              <w:rPr>
                <w:rFonts w:eastAsia="Times New Roman" w:cs="Times New Roman"/>
                <w:sz w:val="24"/>
                <w:szCs w:val="24"/>
                <w:lang w:val="en-GB" w:eastAsia="en-GB"/>
              </w:rPr>
              <w:t>.</w:t>
            </w:r>
            <w:r w:rsidR="007D0BAA">
              <w:rPr>
                <w:rStyle w:val="FootnoteReference"/>
                <w:rFonts w:eastAsia="Times New Roman" w:cs="Times New Roman"/>
                <w:sz w:val="24"/>
                <w:szCs w:val="24"/>
                <w:lang w:val="en-GB" w:eastAsia="en-GB"/>
              </w:rPr>
              <w:footnoteReference w:id="13"/>
            </w:r>
          </w:p>
        </w:tc>
        <w:tc>
          <w:tcPr>
            <w:tcW w:w="2672" w:type="dxa"/>
          </w:tcPr>
          <w:p w:rsidR="00043AD8" w:rsidRPr="00043AD8" w:rsidRDefault="007D0BAA" w:rsidP="00043AD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val="en-GB" w:eastAsia="en-GB"/>
              </w:rPr>
              <w:t>Erwandi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val="en-GB" w:eastAsia="en-GB"/>
              </w:rPr>
              <w:t>tarmidzi</w:t>
            </w:r>
            <w:proofErr w:type="spellEnd"/>
            <w:r>
              <w:rPr>
                <w:rStyle w:val="FootnoteReference"/>
                <w:rFonts w:eastAsia="Times New Roman" w:cs="Times New Roman"/>
                <w:sz w:val="24"/>
                <w:szCs w:val="24"/>
                <w:lang w:val="en-GB" w:eastAsia="en-GB"/>
              </w:rPr>
              <w:footnoteReference w:id="14"/>
            </w:r>
          </w:p>
        </w:tc>
      </w:tr>
      <w:tr w:rsidR="00043AD8" w:rsidTr="009532DB">
        <w:trPr>
          <w:trHeight w:val="1781"/>
        </w:trPr>
        <w:tc>
          <w:tcPr>
            <w:tcW w:w="9016" w:type="dxa"/>
            <w:gridSpan w:val="3"/>
          </w:tcPr>
          <w:p w:rsidR="00043AD8" w:rsidRPr="00973CDE" w:rsidRDefault="00043AD8">
            <w:pPr>
              <w:rPr>
                <w:lang w:val="en-GB"/>
              </w:rPr>
            </w:pPr>
            <w:proofErr w:type="spellStart"/>
            <w:r w:rsidRPr="00973CDE">
              <w:rPr>
                <w:b/>
                <w:bCs/>
                <w:lang w:val="en-GB"/>
              </w:rPr>
              <w:t>Persamaan</w:t>
            </w:r>
            <w:proofErr w:type="spellEnd"/>
            <w:r w:rsidRPr="00973CDE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73CDE">
              <w:rPr>
                <w:b/>
                <w:bCs/>
                <w:lang w:val="en-GB"/>
              </w:rPr>
              <w:t>kedua</w:t>
            </w:r>
            <w:proofErr w:type="spellEnd"/>
            <w:r w:rsidRPr="00973CDE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73CDE">
              <w:rPr>
                <w:b/>
                <w:bCs/>
                <w:lang w:val="en-GB"/>
              </w:rPr>
              <w:t>pendapat</w:t>
            </w:r>
            <w:proofErr w:type="spellEnd"/>
            <w:r>
              <w:rPr>
                <w:lang w:val="en-GB"/>
              </w:rPr>
              <w:t xml:space="preserve">: </w:t>
            </w:r>
            <w:r>
              <w:t>Kedua pendapat sepakat bahwa transaksi dalam Islam harus bebas dari riba, gharar, dan unsur haram lainnya. Perbedaan hanya terletak pada penilaian terhadap implementasi e-wallet.</w:t>
            </w:r>
            <w:r w:rsidR="007D0BAA">
              <w:rPr>
                <w:rStyle w:val="FootnoteReference"/>
              </w:rPr>
              <w:footnoteReference w:id="15"/>
            </w:r>
          </w:p>
          <w:p w:rsidR="00043AD8" w:rsidRPr="00973CDE" w:rsidRDefault="00043AD8" w:rsidP="009532DB">
            <w:pPr>
              <w:rPr>
                <w:lang w:val="en-GB"/>
              </w:rPr>
            </w:pPr>
            <w:proofErr w:type="spellStart"/>
            <w:r w:rsidRPr="00043AD8">
              <w:rPr>
                <w:b/>
                <w:bCs/>
                <w:lang w:val="en-GB"/>
              </w:rPr>
              <w:t>Analisis</w:t>
            </w:r>
            <w:proofErr w:type="spellEnd"/>
            <w:r w:rsidRPr="00043AD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043AD8">
              <w:rPr>
                <w:b/>
                <w:bCs/>
                <w:lang w:val="en-GB"/>
              </w:rPr>
              <w:t>pendapat</w:t>
            </w:r>
            <w:proofErr w:type="spellEnd"/>
            <w:r w:rsidRPr="00043AD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043AD8">
              <w:rPr>
                <w:b/>
                <w:bCs/>
                <w:lang w:val="en-GB"/>
              </w:rPr>
              <w:t>pribadi</w:t>
            </w:r>
            <w:proofErr w:type="spellEnd"/>
            <w:r w:rsidRPr="00043AD8">
              <w:rPr>
                <w:b/>
                <w:bCs/>
                <w:lang w:val="en-GB"/>
              </w:rPr>
              <w:t xml:space="preserve">: </w:t>
            </w:r>
            <w:r>
              <w:t xml:space="preserve">Menurut saya, penggunaan e-wallet </w:t>
            </w:r>
            <w:r>
              <w:rPr>
                <w:rStyle w:val="Strong"/>
                <w:b w:val="0"/>
                <w:bCs w:val="0"/>
              </w:rPr>
              <w:t xml:space="preserve">boleh </w:t>
            </w:r>
            <w:proofErr w:type="spellStart"/>
            <w:r>
              <w:rPr>
                <w:rStyle w:val="Strong"/>
                <w:b w:val="0"/>
                <w:bCs w:val="0"/>
                <w:lang w:val="en-GB"/>
              </w:rPr>
              <w:t>dengan</w:t>
            </w:r>
            <w:proofErr w:type="spellEnd"/>
            <w:r w:rsidRPr="00043AD8">
              <w:rPr>
                <w:rStyle w:val="Strong"/>
                <w:b w:val="0"/>
                <w:bCs w:val="0"/>
              </w:rPr>
              <w:t xml:space="preserve"> syarat</w:t>
            </w:r>
            <w:r>
              <w:rPr>
                <w:rStyle w:val="Strong"/>
                <w:b w:val="0"/>
                <w:bCs w:val="0"/>
                <w:lang w:val="en-GB"/>
              </w:rPr>
              <w:t xml:space="preserve">, </w:t>
            </w:r>
            <w:proofErr w:type="spellStart"/>
            <w:r>
              <w:rPr>
                <w:rStyle w:val="Strong"/>
                <w:b w:val="0"/>
                <w:bCs w:val="0"/>
                <w:lang w:val="en-GB"/>
              </w:rPr>
              <w:t>tetapi</w:t>
            </w:r>
            <w:proofErr w:type="spellEnd"/>
            <w:r>
              <w:rPr>
                <w:rStyle w:val="Strong"/>
                <w:b w:val="0"/>
                <w:bCs w:val="0"/>
                <w:lang w:val="en-GB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lang w:val="en-GB"/>
              </w:rPr>
              <w:t>tetap</w:t>
            </w:r>
            <w:proofErr w:type="spellEnd"/>
            <w:r>
              <w:rPr>
                <w:rStyle w:val="Strong"/>
                <w:b w:val="0"/>
                <w:bCs w:val="0"/>
                <w:lang w:val="en-GB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lang w:val="en-GB"/>
              </w:rPr>
              <w:t>perlu</w:t>
            </w:r>
            <w:proofErr w:type="spellEnd"/>
            <w:r>
              <w:rPr>
                <w:rStyle w:val="Strong"/>
                <w:b w:val="0"/>
                <w:bCs w:val="0"/>
                <w:lang w:val="en-GB"/>
              </w:rPr>
              <w:t xml:space="preserve"> </w:t>
            </w:r>
            <w:r>
              <w:t>kehati-hatian agar terhindar dari riba, gharar, dan penipuan.</w:t>
            </w:r>
          </w:p>
        </w:tc>
      </w:tr>
    </w:tbl>
    <w:p w:rsidR="00695198" w:rsidRPr="00695198" w:rsidRDefault="00695198" w:rsidP="00695198"/>
    <w:p w:rsidR="00695198" w:rsidRPr="00695198" w:rsidRDefault="00695198" w:rsidP="00695198"/>
    <w:p w:rsidR="00695198" w:rsidRDefault="00695198" w:rsidP="00695198"/>
    <w:p w:rsidR="000A5209" w:rsidRPr="00695198" w:rsidRDefault="00695198" w:rsidP="00695198">
      <w:pPr>
        <w:tabs>
          <w:tab w:val="left" w:pos="7395"/>
        </w:tabs>
      </w:pPr>
      <w:r>
        <w:tab/>
      </w:r>
    </w:p>
    <w:sectPr w:rsidR="000A5209" w:rsidRPr="00695198" w:rsidSect="00695198"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5E9D" w:rsidRDefault="008E5E9D" w:rsidP="00043AD8">
      <w:r>
        <w:separator/>
      </w:r>
    </w:p>
  </w:endnote>
  <w:endnote w:type="continuationSeparator" w:id="0">
    <w:p w:rsidR="008E5E9D" w:rsidRDefault="008E5E9D" w:rsidP="00043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5E9D" w:rsidRDefault="008E5E9D" w:rsidP="00043AD8">
      <w:r>
        <w:separator/>
      </w:r>
    </w:p>
  </w:footnote>
  <w:footnote w:type="continuationSeparator" w:id="0">
    <w:p w:rsidR="008E5E9D" w:rsidRDefault="008E5E9D" w:rsidP="00043AD8">
      <w:r>
        <w:continuationSeparator/>
      </w:r>
    </w:p>
  </w:footnote>
  <w:footnote w:id="1">
    <w:p w:rsidR="00892C96" w:rsidRPr="00892C96" w:rsidRDefault="00892C96" w:rsidP="00FF4E91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 w:rsidR="00AC65C1">
        <w:instrText>ADDIN CSL_CITATION {"citationItems":[{"id":"ITEM-1","itemData":{"author":[{"dropping-particle":"","family":"E-wallet","given":"Tentang Mekanisme Transaksi","non-dropping-particle":"","parse-names":false,"suffix":""},{"dropping-particle":"","family":"Sunarsa","given":"Sasa","non-dropping-particle":"","parse-names":false,"suffix":""},{"dropping-particle":"","family":"Fauzi","given":"Ilham Nurul","non-dropping-particle":"","parse-names":false,"suffix":""}],"id":"ITEM-1","issue":"c","issued":{"date-parts":[["2023"]]},"page":"1-14","title":"Tinjauan Hukum Islam","type":"article-journal"},"uris":["http://www.mendeley.com/documents/?uuid=248fdf55-3263-41ed-aaad-c25607d7abdb"]}],"mendeley":{"formattedCitation":"Tentang Mekanisme Transaksi E-wallet, Sasa Sunarsa, and Ilham Nurul Fauzi, ‘Tinjauan Hukum Islam’, c, 2023, pp. 1–14.","plainTextFormattedCitation":"Tentang Mekanisme Transaksi E-wallet, Sasa Sunarsa, and Ilham Nurul Fauzi, ‘Tinjauan Hukum Islam’, c, 2023, pp. 1–14.","previouslyFormattedCitation":"Tentang Mekanisme Transaksi E-wallet, Sasa Sunarsa, and Ilham Nurul Fauzi, ‘Tinjauan Hukum Islam’, c, 2023, pp. 1–14."},"properties":{"noteIndex":1},"schema":"https://github.com/citation-style-language/schema/raw/master/csl-citation.json"}</w:instrText>
      </w:r>
      <w:r>
        <w:fldChar w:fldCharType="separate"/>
      </w:r>
      <w:r w:rsidRPr="00892C96">
        <w:rPr>
          <w:noProof/>
        </w:rPr>
        <w:t>Tentang Mekanisme Transaksi E-wallet, Sasa Sunarsa, and Ilham Nurul Fauzi, ‘Tinjauan Hukum Islam’, c, 2023, pp. 1–14.</w:t>
      </w:r>
      <w:r>
        <w:fldChar w:fldCharType="end"/>
      </w:r>
    </w:p>
  </w:footnote>
  <w:footnote w:id="2">
    <w:p w:rsidR="00892C96" w:rsidRPr="00892C96" w:rsidRDefault="00892C96" w:rsidP="00FF4E91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{"citationItems":[{"id":"ITEM-1","itemData":{"author":[{"dropping-particle":"","family":"Hasibuan","given":"Chairina Amaliah","non-dropping-particle":"","parse-names":false,"suffix":""}],"id":"ITEM-1","issue":"2","issued":{"date-parts":[["2026"]]},"page":"1-9","title":"Penerapan Nilai-Nilai Syariah dalam Sistem Pembayaran Nontunai ( E-Wallet ) di Kalangan Generasi Z Muslim","type":"article-journal","volume":"4"},"uris":["http://www.mendeley.com/documents/?uuid=26259589-16d6-4aff-a690-63a761ba1840"]}],"mendeley":{"formattedCitation":"Chairina Amaliah Hasibuan, ‘Penerapan Nilai-Nilai Syariah Dalam Sistem Pembayaran Nontunai ( E-Wallet ) Di Kalangan Generasi Z Muslim’, 4.2 (2026), pp. 1–9.","plainTextFormattedCitation":"Chairina Amaliah Hasibuan, ‘Penerapan Nilai-Nilai Syariah Dalam Sistem Pembayaran Nontunai ( E-Wallet ) Di Kalangan Generasi Z Muslim’, 4.2 (2026), pp. 1–9.","previouslyFormattedCitation":"Chairina Amaliah Hasibuan, ‘Penerapan Nilai-Nilai Syariah Dalam Sistem Pembayaran Nontunai ( E-Wallet ) Di Kalangan Generasi Z Muslim’, 4.2 (2026), pp. 1–9."},"properties":{"noteIndex":2},"schema":"https://github.com/citation-style-language/schema/raw/master/csl-citation.json"}</w:instrText>
      </w:r>
      <w:r>
        <w:fldChar w:fldCharType="separate"/>
      </w:r>
      <w:r w:rsidRPr="00892C96">
        <w:rPr>
          <w:noProof/>
        </w:rPr>
        <w:t>Chairina Amaliah Hasibuan, ‘Penerapan Nilai-Nilai Syariah Dalam Sistem Pembayaran Nontunai ( E-Wallet ) Di Kalangan Generasi Z Muslim’, 4.2 (2026), pp. 1–9.</w:t>
      </w:r>
      <w:r>
        <w:fldChar w:fldCharType="end"/>
      </w:r>
    </w:p>
  </w:footnote>
  <w:footnote w:id="3">
    <w:p w:rsidR="00AC65C1" w:rsidRPr="00AC65C1" w:rsidRDefault="00AC65C1" w:rsidP="00FF4E91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 w:rsidR="00B779FF">
        <w:instrText>ADDIN CSL_CITATION {"citationItems":[{"id":"ITEM-1","itemData":{"author":[{"dropping-particle":"","family":"Djati","given":"Gunung","non-dropping-particle":"","parse-names":false,"suffix":""},{"dropping-particle":"","family":"Series","given":"Conference","non-dropping-particle":"","parse-names":false,"suffix":""}],"id":"ITEM-1","issued":{"date-parts":[["2023"]]},"page":"119-128","title":"Konsep Mu’amalah Ma’annas dalam al-Qur’an Perspektif SuratAl-Maidah Ayat 1 dan Implikasinya terhadap Kehidupan Sehari-hari","type":"article-journal","volume":"19"},"uris":["http://www.mendeley.com/documents/?uuid=f1c58850-b52a-450c-b478-5a78e44291b1"]}],"mendeley":{"formattedCitation":"Gunung Djati and Conference Series, ‘Konsep Mu’amalah Ma’annas Dalam Al-Qur’an Perspektif SuratAl-Maidah Ayat 1 Dan Implikasinya Terhadap Kehidupan Sehari-Hari’, 19 (2023), pp. 119–28.","plainTextFormattedCitation":"Gunung Djati and Conference Series, ‘Konsep Mu’amalah Ma’annas Dalam Al-Qur’an Perspektif SuratAl-Maidah Ayat 1 Dan Implikasinya Terhadap Kehidupan Sehari-Hari’, 19 (2023), pp. 119–28.","previouslyFormattedCitation":"Gunung Djati and Conference Series, ‘Konsep Mu’amalah Ma’annas Dalam Al-Qur’an Perspektif SuratAl-Maidah Ayat 1 Dan Implikasinya Terhadap Kehidupan Sehari-Hari’, 19 (2023), pp. 119–28."},"properties":{"noteIndex":3},"schema":"https://github.com/citation-style-language/schema/raw/master/csl-citation.json"}</w:instrText>
      </w:r>
      <w:r>
        <w:fldChar w:fldCharType="separate"/>
      </w:r>
      <w:r w:rsidRPr="00AC65C1">
        <w:rPr>
          <w:noProof/>
        </w:rPr>
        <w:t>Gunung Djati and Conference Series, ‘Konsep Mu’amalah Ma’annas Dalam Al-Qur’an Perspektif SuratAl-Maidah Ayat 1 Dan Implikasinya Terhadap Kehidupan Sehari-Hari’, 19 (2023), pp. 119–28.</w:t>
      </w:r>
      <w:r>
        <w:fldChar w:fldCharType="end"/>
      </w:r>
    </w:p>
  </w:footnote>
  <w:footnote w:id="4">
    <w:p w:rsidR="00B779FF" w:rsidRPr="00B779FF" w:rsidRDefault="00B779FF" w:rsidP="00FF4E91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{"citationItems":[{"id":"ITEM-1","itemData":{"author":[{"dropping-particle":"","family":"Ayat","given":"Analisis Q S Al-baqarah","non-dropping-particle":"","parse-names":false,"suffix":""},{"dropping-particle":"","family":"An-nisa","given":"Q S","non-dropping-particle":"","parse-names":false,"suffix":""}],"id":"ITEM-1","issue":"2","issued":{"date-parts":[["0"]]},"page":"349-355","title":"Prinsip Perdagangan dalam Islam Menurut Tafsir Al- Qur ’ an :","type":"article-journal","volume":"3"},"uris":["http://www.mendeley.com/documents/?uuid=870c0d8b-537a-4cff-95ef-e300a20b7b74"]}],"mendeley":{"formattedCitation":"Analisis Q S Al-baqarah Ayat and Q S An-nisa, ‘Prinsip Perdagangan Dalam Islam Menurut Tafsir Al- Qur ’ an :’, 3.2, pp. 349–55.","plainTextFormattedCitation":"Analisis Q S Al-baqarah Ayat and Q S An-nisa, ‘Prinsip Perdagangan Dalam Islam Menurut Tafsir Al- Qur ’ an :’, 3.2, pp. 349–55.","previouslyFormattedCitation":"Analisis Q S Al-baqarah Ayat and Q S An-nisa, ‘Prinsip Perdagangan Dalam Islam Menurut Tafsir Al- Qur ’ an :’, 3.2, pp. 349–55."},"properties":{"noteIndex":4},"schema":"https://github.com/citation-style-language/schema/raw/master/csl-citation.json"}</w:instrText>
      </w:r>
      <w:r>
        <w:fldChar w:fldCharType="separate"/>
      </w:r>
      <w:r w:rsidRPr="00B779FF">
        <w:rPr>
          <w:noProof/>
        </w:rPr>
        <w:t>Analisis Q S Al-baqarah Ayat and Q S An-nisa, ‘Prinsip Perdagangan Dalam Islam Menurut Tafsir Al- Qur ’ an :’, 3.2, pp. 349–55.</w:t>
      </w:r>
      <w:r>
        <w:fldChar w:fldCharType="end"/>
      </w:r>
    </w:p>
  </w:footnote>
  <w:footnote w:id="5">
    <w:p w:rsidR="00B779FF" w:rsidRPr="00B779FF" w:rsidRDefault="00B779FF" w:rsidP="00FF4E91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 w:rsidR="007D0BAA">
        <w:instrText>ADDIN CSL_CITATION {"citationItems":[{"id":"ITEM-1","itemData":{"author":[{"dropping-particle":"","family":"Putri","given":"Adinda","non-dropping-particle":"","parse-names":false,"suffix":""},{"dropping-particle":"","family":"Putri","given":"Juliana","non-dropping-particle":"","parse-names":false,"suffix":""}],"id":"ITEM-1","issue":"2","issued":{"date-parts":[["2025"]]},"page":"105-112","title":"Implementasi Prinsip Maqashid Syariah dalam Sistem Pembayaran Digital pada Platform E-Commerce di Indonesia aspek kehidupan , termasuk dalam cara manusia melakukan aktivitas ekonomi . Proses GNNT ( Gerakan Nasional Non Tunai ) sejak tahun 2014 . Bank Indo","type":"article-journal","volume":"2"},"uris":["http://www.mendeley.com/documents/?uuid=fcc051ed-9e1c-4182-b7c2-9ffa0f1f7681"]}],"mendeley":{"formattedCitation":"Adinda Putri and Juliana Putri, ‘Implementasi Prinsip Maqashid Syariah Dalam Sistem Pembayaran Digital Pada Platform E-Commerce Di Indonesia Aspek Kehidupan , Termasuk Dalam Cara Manusia Melakukan Aktivitas Ekonomi . Proses GNNT ( Gerakan Nasional Non Tunai ) Sejak Tahun 2014 . Bank Indo’, 2.2 (2025), pp. 105–12.","plainTextFormattedCitation":"Adinda Putri and Juliana Putri, ‘Implementasi Prinsip Maqashid Syariah Dalam Sistem Pembayaran Digital Pada Platform E-Commerce Di Indonesia Aspek Kehidupan , Termasuk Dalam Cara Manusia Melakukan Aktivitas Ekonomi . Proses GNNT ( Gerakan Nasional Non Tunai ) Sejak Tahun 2014 . Bank Indo’, 2.2 (2025), pp. 105–12.","previouslyFormattedCitation":"Adinda Putri and Juliana Putri, ‘Implementasi Prinsip Maqashid Syariah Dalam Sistem Pembayaran Digital Pada Platform E-Commerce Di Indonesia Aspek Kehidupan , Termasuk Dalam Cara Manusia Melakukan Aktivitas Ekonomi . Proses GNNT ( Gerakan Nasional Non Tunai ) Sejak Tahun 2014 . Bank Indo’, 2.2 (2025), pp. 105–12."},"properties":{"noteIndex":5},"schema":"https://github.com/citation-style-language/schema/raw/master/csl-citation.json"}</w:instrText>
      </w:r>
      <w:r>
        <w:fldChar w:fldCharType="separate"/>
      </w:r>
      <w:r w:rsidR="007D0BAA" w:rsidRPr="007D0BAA">
        <w:rPr>
          <w:noProof/>
        </w:rPr>
        <w:t>Adinda Putri and Juliana Putri, ‘Implementasi Prinsip Maqashid Syariah Dalam Sistem Pembayaran Digital Pada Platform E-Commerce Di Indonesia Aspek Kehidupan , Termasuk Dalam Cara Manusia Melakukan Aktivitas Ekonomi . Proses GNNT ( Gerakan Nasional Non Tunai ) Sejak Tahun 2014 . Bank Indo’, 2.2 (2025), pp. 105–12.</w:t>
      </w:r>
      <w:r>
        <w:fldChar w:fldCharType="end"/>
      </w:r>
    </w:p>
  </w:footnote>
  <w:footnote w:id="6">
    <w:p w:rsidR="00B779FF" w:rsidRPr="00B779FF" w:rsidRDefault="00B779FF" w:rsidP="00FF4E91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 w:rsidR="00EC1B3B">
        <w:instrText>ADDIN CSL_CITATION {"citationItems":[{"id":"ITEM-1","itemData":{"author":[{"dropping-particle":"","family":"Ah","given":"Sadd Al-dzari","non-dropping-particle":"","parse-names":false,"suffix":""},{"dropping-particle":"","family":"Dan","given":"Korelasi","non-dropping-particle":"","parse-names":false,"suffix":""},{"dropping-particle":"","family":"Dalam","given":"Penerapannya","non-dropping-particle":"","parse-names":false,"suffix":""}],"id":"ITEM-1","issued":{"date-parts":[["1995"]]},"title":"Sadd al-dzari’ah","type":"article-journal"},"uris":["http://www.mendeley.com/documents/?uuid=ffcf0187-d025-432c-948d-3e79dc1f66b7"]}],"mendeley":{"formattedCitation":"Sadd Al-dzari Ah, Korelasi Dan, and Penerapannya Dalam, ‘Sadd Al-Dzari’ah’, 1995.","plainTextFormattedCitation":"Sadd Al-dzari Ah, Korelasi Dan, and Penerapannya Dalam, ‘Sadd Al-Dzari’ah’, 1995.","previouslyFormattedCitation":"Sadd Al-dzari Ah, Korelasi Dan, and Penerapannya Dalam, ‘Sadd Al-Dzari’ah’, 1995."},"properties":{"noteIndex":6},"schema":"https://github.com/citation-style-language/schema/raw/master/csl-citation.json"}</w:instrText>
      </w:r>
      <w:r>
        <w:fldChar w:fldCharType="separate"/>
      </w:r>
      <w:r w:rsidRPr="00B779FF">
        <w:rPr>
          <w:noProof/>
        </w:rPr>
        <w:t>Sadd Al-dzari Ah, Korelasi Dan, and Penerapannya Dalam, ‘Sadd Al-Dzari’ah’, 1995.</w:t>
      </w:r>
      <w:r>
        <w:fldChar w:fldCharType="end"/>
      </w:r>
    </w:p>
  </w:footnote>
  <w:footnote w:id="7">
    <w:p w:rsidR="00EC1B3B" w:rsidRPr="00EC1B3B" w:rsidRDefault="00EC1B3B" w:rsidP="00FF4E91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Jurnal","given":"Jicn","non-dropping-particle":"","parse-names":false,"suffix":""},{"dropping-particle":"","family":"Nusantara","given":"Cendikiawan","non-dropping-particle":"","parse-names":false,"suffix":""},{"dropping-particle":"","family":"Keuangan","given":"Transaksi","non-dropping-particle":"","parse-names":false,"suffix":""},{"dropping-particle":"","family":"Ditinjau","given":"Melalui E-wallet","non-dropping-particle":"","parse-names":false,"suffix":""}],"id":"ITEM-1","issued":{"date-parts":[["2025"]]},"page":"630-639","title":"TRANSAKSI KEUANGAN MELALUI E-WALLET DITINJAU DARI PERSPEKTIF HUKUM ISLAM","type":"article-journal"},"uris":["http://www.mendeley.com/documents/?uuid=9a94ef10-521f-4a55-8cb9-949b94c2fc7b"]}],"mendeley":{"formattedCitation":"Jicn Jurnal and others, ‘TRANSAKSI KEUANGAN MELALUI E-WALLET DITINJAU DARI PERSPEKTIF HUKUM ISLAM’, 2025, pp. 630–39.","plainTextFormattedCitation":"Jicn Jurnal and others, ‘TRANSAKSI KEUANGAN MELALUI E-WALLET DITINJAU DARI PERSPEKTIF HUKUM ISLAM’, 2025, pp. 630–39.","previouslyFormattedCitation":"Jicn Jurnal and others, ‘TRANSAKSI KEUANGAN MELALUI E-WALLET DITINJAU DARI PERSPEKTIF HUKUM ISLAM’, 2025, pp. 630–39."},"properties":{"noteIndex":7},"schema":"https://github.com/citation-style-language/schema/raw/master/csl-citation.json"}</w:instrText>
      </w:r>
      <w:r>
        <w:fldChar w:fldCharType="separate"/>
      </w:r>
      <w:r w:rsidRPr="00EC1B3B">
        <w:rPr>
          <w:noProof/>
        </w:rPr>
        <w:t>Jicn Jurnal and others, ‘TRANSAKSI KEUANGAN MELALUI E-WALLET DITINJAU DARI PERSPEKTIF HUKUM ISLAM’, 2025, pp. 630–39.</w:t>
      </w:r>
      <w:r>
        <w:fldChar w:fldCharType="end"/>
      </w:r>
    </w:p>
  </w:footnote>
  <w:footnote w:id="8">
    <w:p w:rsidR="00EC1B3B" w:rsidRPr="00EC1B3B" w:rsidRDefault="00EC1B3B" w:rsidP="00FF4E91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{"citationItems":[{"id":"ITEM-1","itemData":{"author":[{"dropping-particle":"","family":"Lutfi","given":"Ahmad","non-dropping-particle":"","parse-names":false,"suffix":""}],"id":"ITEM-1","issued":{"date-parts":[["0"]]},"page":"94-108","title":"Analisis Filsafat Ekonomi Islam terhadap Diskon Dompet Digital : Telaah Kritis Pemikiran Erwandi Tarmizi tentang Potensi Riba dalam Fintech Syariah","type":"article-journal"},"uris":["http://www.mendeley.com/documents/?uuid=002bb33f-e5bb-4111-8282-e9104333018b"]}],"mendeley":{"formattedCitation":"Ahmad Lutfi, ‘Analisis Filsafat Ekonomi Islam Terhadap Diskon Dompet Digital : Telaah Kritis Pemikiran Erwandi Tarmizi Tentang Potensi Riba Dalam Fintech Syariah’, pp. 94–108.","plainTextFormattedCitation":"Ahmad Lutfi, ‘Analisis Filsafat Ekonomi Islam Terhadap Diskon Dompet Digital : Telaah Kritis Pemikiran Erwandi Tarmizi Tentang Potensi Riba Dalam Fintech Syariah’, pp. 94–108.","previouslyFormattedCitation":"Ahmad Lutfi, ‘Analisis Filsafat Ekonomi Islam Terhadap Diskon Dompet Digital : Telaah Kritis Pemikiran Erwandi Tarmizi Tentang Potensi Riba Dalam Fintech Syariah’, pp. 94–108."},"properties":{"noteIndex":8},"schema":"https://github.com/citation-style-language/schema/raw/master/csl-citation.json"}</w:instrText>
      </w:r>
      <w:r>
        <w:fldChar w:fldCharType="separate"/>
      </w:r>
      <w:r w:rsidRPr="00EC1B3B">
        <w:rPr>
          <w:noProof/>
        </w:rPr>
        <w:t>Ahmad Lutfi, ‘Analisis Filsafat Ekonomi Islam Terhadap Diskon Dompet Digital : Telaah Kritis Pemikiran Erwandi Tarmizi Tentang Potensi Riba Dalam Fintech Syariah’, pp. 94–108.</w:t>
      </w:r>
      <w:r>
        <w:fldChar w:fldCharType="end"/>
      </w:r>
    </w:p>
  </w:footnote>
  <w:footnote w:id="9">
    <w:p w:rsidR="00EC1B3B" w:rsidRPr="00EC1B3B" w:rsidRDefault="00EC1B3B" w:rsidP="00FF4E91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 w:rsidR="006E5D94">
        <w:instrText>ADDIN CSL_CITATION {"citationItems":[{"id":"ITEM-1","itemData":{"author":[{"dropping-particle":"","family":"Setiadama","given":"Anugra Dwi","non-dropping-particle":"","parse-names":false,"suffix":""},{"dropping-particle":"","family":"Yazid","given":"Muhammad","non-dropping-particle":"","parse-names":false,"suffix":""}],"id":"ITEM-1","issue":"1","issued":{"date-parts":[["2026"]]},"title":"Analisis Hukum E-Wallet : Ditinjau dalam Perspektif Syari ’ ah dan Implikasi Ekonomi","type":"article-journal"},"uris":["http://www.mendeley.com/documents/?uuid=73ea5f25-de47-4cd5-a8b7-ea2b7e6c1033"]}],"mendeley":{"formattedCitation":"Anugra Dwi Setiadama and Muhammad Yazid, ‘Analisis Hukum E-Wallet : Ditinjau Dalam Perspektif Syari ’ Ah Dan Implikasi Ekonomi’, 1, 2026.","plainTextFormattedCitation":"Anugra Dwi Setiadama and Muhammad Yazid, ‘Analisis Hukum E-Wallet : Ditinjau Dalam Perspektif Syari ’ Ah Dan Implikasi Ekonomi’, 1, 2026.","previouslyFormattedCitation":"Anugra Dwi Setiadama and Muhammad Yazid, ‘Analisis Hukum E-Wallet : Ditinjau Dalam Perspektif Syari ’ Ah Dan Implikasi Ekonomi’, 1, 2026."},"properties":{"noteIndex":9},"schema":"https://github.com/citation-style-language/schema/raw/master/csl-citation.json"}</w:instrText>
      </w:r>
      <w:r>
        <w:fldChar w:fldCharType="separate"/>
      </w:r>
      <w:r w:rsidRPr="00EC1B3B">
        <w:rPr>
          <w:noProof/>
        </w:rPr>
        <w:t>Anugra Dwi Setiadama and Muhammad Yazid, ‘Analisis Hukum E-Wallet : Ditinjau Dalam Perspektif Syari ’ Ah Dan Implikasi Ekonomi’, 1, 2026.</w:t>
      </w:r>
      <w:r>
        <w:fldChar w:fldCharType="end"/>
      </w:r>
    </w:p>
  </w:footnote>
  <w:footnote w:id="10">
    <w:p w:rsidR="006E5D94" w:rsidRPr="006E5D94" w:rsidRDefault="006E5D94" w:rsidP="00FF4E91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 w:rsidR="00A9634F">
        <w:instrText>ADDIN CSL_CITATION {"citationItems":[{"id":"ITEM-1","itemData":{"author":[{"dropping-particle":"","family":"Sudarmanto","given":"Eko","non-dropping-particle":"","parse-names":false,"suffix":""},{"dropping-particle":"","family":"Yusuf","given":"Sitti Rabiah","non-dropping-particle":"","parse-names":false,"suffix":""},{"dropping-particle":"","family":"Yuliana","given":"Indah","non-dropping-particle":"","parse-names":false,"suffix":""},{"dropping-particle":"","family":"Wahyuni","given":"Nanik","non-dropping-particle":"","parse-names":false,"suffix":""},{"dropping-particle":"","family":"Zaki","given":"Ahmad","non-dropping-particle":"","parse-names":false,"suffix":""}],"id":"ITEM-1","issue":"01","issued":{"date-parts":[["2024"]]},"page":"645-655","title":"Transformasi Digital dalam Keuangan Islam : Peluang dan Tantangan","type":"article-journal","volume":"10"},"uris":["http://www.mendeley.com/documents/?uuid=c96dbc94-60fc-4ab7-a063-4ec5bc850523"]}],"mendeley":{"formattedCitation":"Eko Sudarmanto and others, ‘Transformasi Digital Dalam Keuangan Islam : Peluang Dan Tantangan’, 10.01 (2024), pp. 645–55.","plainTextFormattedCitation":"Eko Sudarmanto and others, ‘Transformasi Digital Dalam Keuangan Islam : Peluang Dan Tantangan’, 10.01 (2024), pp. 645–55.","previouslyFormattedCitation":"Eko Sudarmanto and others, ‘Transformasi Digital Dalam Keuangan Islam : Peluang Dan Tantangan’, 10.01 (2024), pp. 645–55."},"properties":{"noteIndex":10},"schema":"https://github.com/citation-style-language/schema/raw/master/csl-citation.json"}</w:instrText>
      </w:r>
      <w:r>
        <w:fldChar w:fldCharType="separate"/>
      </w:r>
      <w:r w:rsidRPr="006E5D94">
        <w:rPr>
          <w:noProof/>
        </w:rPr>
        <w:t>Eko Sudarmanto and others, ‘Transformasi Digital Dalam Keuangan Islam : Peluang Dan Tantangan’, 10.01 (2024), pp. 645–55.</w:t>
      </w:r>
      <w:r>
        <w:fldChar w:fldCharType="end"/>
      </w:r>
    </w:p>
  </w:footnote>
  <w:footnote w:id="11">
    <w:p w:rsidR="00A9634F" w:rsidRPr="00A9634F" w:rsidRDefault="00A9634F" w:rsidP="00FF4E91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Ilmiah","given":"Jurnal","non-dropping-particle":"","parse-names":false,"suffix":""},{"dropping-particle":"","family":"Islam","given":"Ekonomi","non-dropping-particle":"","parse-names":false,"suffix":""}],"id":"ITEM-1","issue":"01","issued":{"date-parts":[["2023"]]},"page":"516-524","title":"E-Wallet dan Perilaku Konsumsi Islam ( Studi Pada Masyarakat Kota Surabaya )","type":"article-journal","volume":"9"},"uris":["http://www.mendeley.com/documents/?uuid=c8769b07-d5e5-4927-abaf-2750e978fbdd"]}],"mendeley":{"formattedCitation":"Jurnal Ilmiah and Ekonomi Islam, ‘E-Wallet Dan Perilaku Konsumsi Islam ( Studi Pada Masyarakat Kota Surabaya )’, 9.01 (2023), pp. 516–24.","plainTextFormattedCitation":"Jurnal Ilmiah and Ekonomi Islam, ‘E-Wallet Dan Perilaku Konsumsi Islam ( Studi Pada Masyarakat Kota Surabaya )’, 9.01 (2023), pp. 516–24.","previouslyFormattedCitation":"Jurnal Ilmiah and Ekonomi Islam, ‘E-Wallet Dan Perilaku Konsumsi Islam ( Studi Pada Masyarakat Kota Surabaya )’, 9.01 (2023), pp. 516–24."},"properties":{"noteIndex":11},"schema":"https://github.com/citation-style-language/schema/raw/master/csl-citation.json"}</w:instrText>
      </w:r>
      <w:r>
        <w:fldChar w:fldCharType="separate"/>
      </w:r>
      <w:r w:rsidRPr="00A9634F">
        <w:rPr>
          <w:noProof/>
        </w:rPr>
        <w:t>Jurnal Ilmiah and Ekonomi Islam, ‘E-Wallet Dan Perilaku Konsumsi Islam ( Studi Pada Masyarakat Kota Surabaya )’, 9.01 (2023), pp. 516–24.</w:t>
      </w:r>
      <w:r>
        <w:fldChar w:fldCharType="end"/>
      </w:r>
    </w:p>
  </w:footnote>
  <w:footnote w:id="12">
    <w:p w:rsidR="003114B5" w:rsidRPr="003114B5" w:rsidRDefault="003114B5" w:rsidP="00FF4E91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 w:rsidR="007D0BAA">
        <w:instrText>ADDIN CSL_CITATION {"citationItems":[{"id":"ITEM-1","itemData":{"author":[{"dropping-particle":"","family":"Lutfi","given":"Ahmad","non-dropping-particle":"","parse-names":false,"suffix":""}],"id":"ITEM-1","issued":{"date-parts":[["0"]]},"page":"94-108","title":"Analisis Filsafat Ekonomi Islam terhadap Diskon Dompet Digital : Telaah Kritis Pemikiran Erwandi Tarmizi tentang Potensi Riba dalam Fintech Syariah","type":"article-journal"},"uris":["http://www.mendeley.com/documents/?uuid=002bb33f-e5bb-4111-8282-e9104333018b"]}],"mendeley":{"formattedCitation":"Lutfi.","plainTextFormattedCitation":"Lutfi.","previouslyFormattedCitation":"Lutfi."},"properties":{"noteIndex":12},"schema":"https://github.com/citation-style-language/schema/raw/master/csl-citation.json"}</w:instrText>
      </w:r>
      <w:r>
        <w:fldChar w:fldCharType="separate"/>
      </w:r>
      <w:r w:rsidRPr="003114B5">
        <w:rPr>
          <w:noProof/>
        </w:rPr>
        <w:t>Lutfi.</w:t>
      </w:r>
      <w:r>
        <w:fldChar w:fldCharType="end"/>
      </w:r>
    </w:p>
  </w:footnote>
  <w:footnote w:id="13">
    <w:p w:rsidR="007D0BAA" w:rsidRPr="007D0BAA" w:rsidRDefault="007D0BAA" w:rsidP="00FF4E91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Rizaldi","given":"Ahmad","non-dropping-particle":"","parse-names":false,"suffix":""},{"dropping-particle":"","family":"Triana","given":"Elva","non-dropping-particle":"","parse-names":false,"suffix":""},{"dropping-particle":"","family":"Mayasari","given":"Nor","non-dropping-particle":"","parse-names":false,"suffix":""}],"id":"ITEM-1","issued":{"date-parts":[["2025"]]},"page":"1550-1559","title":"FORMULASI HUKUM FIQIH TENTANG AKAD BELANJA ONLINE DALAM PARADIGMA PEMIKIRAN ULAMA KONTEMPORER","type":"article-journal"},"uris":["http://www.mendeley.com/documents/?uuid=9ab074fb-166f-4f41-8818-3f8d3046d2b2"]}],"mendeley":{"formattedCitation":"Ahmad Rizaldi, Elva Triana, and Nor Mayasari, ‘FORMULASI HUKUM FIQIH TENTANG AKAD BELANJA ONLINE DALAM PARADIGMA PEMIKIRAN ULAMA KONTEMPORER’, 2025, pp. 1550–59.","plainTextFormattedCitation":"Ahmad Rizaldi, Elva Triana, and Nor Mayasari, ‘FORMULASI HUKUM FIQIH TENTANG AKAD BELANJA ONLINE DALAM PARADIGMA PEMIKIRAN ULAMA KONTEMPORER’, 2025, pp. 1550–59.","previouslyFormattedCitation":"Ahmad Rizaldi, Elva Triana, and Nor Mayasari, ‘FORMULASI HUKUM FIQIH TENTANG AKAD BELANJA ONLINE DALAM PARADIGMA PEMIKIRAN ULAMA KONTEMPORER’, 2025, pp. 1550–59."},"properties":{"noteIndex":13},"schema":"https://github.com/citation-style-language/schema/raw/master/csl-citation.json"}</w:instrText>
      </w:r>
      <w:r>
        <w:fldChar w:fldCharType="separate"/>
      </w:r>
      <w:r w:rsidRPr="007D0BAA">
        <w:rPr>
          <w:noProof/>
        </w:rPr>
        <w:t>Ahmad Rizaldi, Elva Triana, and Nor Mayasari, ‘FORMULASI HUKUM FIQIH TENTANG AKAD BELANJA ONLINE DALAM PARADIGMA PEMIKIRAN ULAMA KONTEMPORER’, 2025, pp. 1550–59.</w:t>
      </w:r>
      <w:r>
        <w:fldChar w:fldCharType="end"/>
      </w:r>
    </w:p>
  </w:footnote>
  <w:footnote w:id="14">
    <w:p w:rsidR="007D0BAA" w:rsidRPr="007D0BAA" w:rsidRDefault="007D0BAA" w:rsidP="00FF4E91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{"citationItems":[{"id":"ITEM-1","itemData":{"author":[{"dropping-particle":"","family":"Lutfi","given":"Ahmad","non-dropping-particle":"","parse-names":false,"suffix":""}],"id":"ITEM-1","issued":{"date-parts":[["0"]]},"page":"94-108","title":"Analisis Filsafat Ekonomi Islam terhadap Diskon Dompet Digital : Telaah Kritis Pemikiran Erwandi Tarmizi tentang Potensi Riba dalam Fintech Syariah","type":"article-journal"},"uris":["http://www.mendeley.com/documents/?uuid=002bb33f-e5bb-4111-8282-e9104333018b"]}],"mendeley":{"formattedCitation":"Lutfi.","plainTextFormattedCitation":"Lutfi.","previouslyFormattedCitation":"Lutfi."},"properties":{"noteIndex":14},"schema":"https://github.com/citation-style-language/schema/raw/master/csl-citation.json"}</w:instrText>
      </w:r>
      <w:r>
        <w:fldChar w:fldCharType="separate"/>
      </w:r>
      <w:r w:rsidRPr="007D0BAA">
        <w:rPr>
          <w:noProof/>
        </w:rPr>
        <w:t>Lutfi.</w:t>
      </w:r>
      <w:r>
        <w:fldChar w:fldCharType="end"/>
      </w:r>
    </w:p>
  </w:footnote>
  <w:footnote w:id="15">
    <w:p w:rsidR="007D0BAA" w:rsidRPr="007D0BAA" w:rsidRDefault="007D0BAA" w:rsidP="00FF4E91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{"citationItems":[{"id":"ITEM-1","itemData":{"author":[{"dropping-particle":"","family":"Setiadama","given":"Anugra Dwi","non-dropping-particle":"","parse-names":false,"suffix":""},{"dropping-particle":"","family":"Yazid","given":"Muhammad","non-dropping-particle":"","parse-names":false,"suffix":""}],"id":"ITEM-1","issue":"1","issued":{"date-parts":[["2026"]]},"title":"Analisis Hukum E-Wallet : Ditinjau dalam Perspektif Syari ’ ah dan Implikasi Ekonomi","type":"article-journal"},"uris":["http://www.mendeley.com/documents/?uuid=73ea5f25-de47-4cd5-a8b7-ea2b7e6c1033"]}],"mendeley":{"formattedCitation":"Setiadama and Yazid.","plainTextFormattedCitation":"Setiadama and Yazid."},"properties":{"noteIndex":15},"schema":"https://github.com/citation-style-language/schema/raw/master/csl-citation.json"}</w:instrText>
      </w:r>
      <w:r>
        <w:fldChar w:fldCharType="separate"/>
      </w:r>
      <w:r w:rsidRPr="007D0BAA">
        <w:rPr>
          <w:noProof/>
        </w:rPr>
        <w:t>Setiadama and Yazid.</w:t>
      </w:r>
      <w:r>
        <w:fldChar w:fldCharType="end"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57F"/>
    <w:rsid w:val="00043AD8"/>
    <w:rsid w:val="00071265"/>
    <w:rsid w:val="000A5209"/>
    <w:rsid w:val="001B35EF"/>
    <w:rsid w:val="003114B5"/>
    <w:rsid w:val="005560AE"/>
    <w:rsid w:val="00695198"/>
    <w:rsid w:val="006E5D94"/>
    <w:rsid w:val="0077757F"/>
    <w:rsid w:val="007D0BAA"/>
    <w:rsid w:val="00892C96"/>
    <w:rsid w:val="008D1B41"/>
    <w:rsid w:val="008E5E9D"/>
    <w:rsid w:val="00973CDE"/>
    <w:rsid w:val="00A9634F"/>
    <w:rsid w:val="00AA2C1B"/>
    <w:rsid w:val="00AC65C1"/>
    <w:rsid w:val="00B779FF"/>
    <w:rsid w:val="00C30DC2"/>
    <w:rsid w:val="00C72BD4"/>
    <w:rsid w:val="00E13286"/>
    <w:rsid w:val="00E93006"/>
    <w:rsid w:val="00EC1B3B"/>
    <w:rsid w:val="00ED4935"/>
    <w:rsid w:val="00F8711D"/>
    <w:rsid w:val="00FF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37D969"/>
  <w15:chartTrackingRefBased/>
  <w15:docId w15:val="{FBB49424-285C-4184-A7AF-1E50BFCB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71265"/>
    <w:rPr>
      <w:rFonts w:ascii="Times New Roman" w:hAnsi="Times New Roman"/>
      <w:lang w:val="id"/>
    </w:rPr>
  </w:style>
  <w:style w:type="paragraph" w:styleId="Heading1">
    <w:name w:val="heading 1"/>
    <w:basedOn w:val="Normal"/>
    <w:link w:val="Heading1Char"/>
    <w:uiPriority w:val="1"/>
    <w:qFormat/>
    <w:rsid w:val="00071265"/>
    <w:pPr>
      <w:ind w:left="465" w:hanging="292"/>
      <w:jc w:val="both"/>
      <w:outlineLvl w:val="0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71265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071265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07126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71265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071265"/>
    <w:pPr>
      <w:ind w:left="697" w:hanging="263"/>
      <w:jc w:val="both"/>
    </w:pPr>
    <w:rPr>
      <w:rFonts w:eastAsia="Times New Roman" w:cs="Times New Roman"/>
    </w:rPr>
  </w:style>
  <w:style w:type="table" w:styleId="TableGrid">
    <w:name w:val="Table Grid"/>
    <w:basedOn w:val="TableNormal"/>
    <w:uiPriority w:val="39"/>
    <w:rsid w:val="007775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43AD8"/>
    <w:rPr>
      <w:b/>
      <w:bCs/>
    </w:rPr>
  </w:style>
  <w:style w:type="character" w:customStyle="1" w:styleId="whitespace-normal">
    <w:name w:val="whitespace-normal"/>
    <w:basedOn w:val="DefaultParagraphFont"/>
    <w:rsid w:val="00043AD8"/>
  </w:style>
  <w:style w:type="paragraph" w:styleId="Header">
    <w:name w:val="header"/>
    <w:basedOn w:val="Normal"/>
    <w:link w:val="HeaderChar"/>
    <w:uiPriority w:val="99"/>
    <w:unhideWhenUsed/>
    <w:rsid w:val="00043A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AD8"/>
    <w:rPr>
      <w:rFonts w:ascii="Times New Roman" w:hAnsi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043A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AD8"/>
    <w:rPr>
      <w:rFonts w:ascii="Times New Roman" w:hAnsi="Times New Roman"/>
      <w:lang w:val="i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92C9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2C96"/>
    <w:rPr>
      <w:rFonts w:ascii="Times New Roman" w:hAnsi="Times New Roman"/>
      <w:sz w:val="20"/>
      <w:szCs w:val="20"/>
      <w:lang w:val="id"/>
    </w:rPr>
  </w:style>
  <w:style w:type="character" w:styleId="FootnoteReference">
    <w:name w:val="footnote reference"/>
    <w:basedOn w:val="DefaultParagraphFont"/>
    <w:uiPriority w:val="99"/>
    <w:semiHidden/>
    <w:unhideWhenUsed/>
    <w:rsid w:val="00892C9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6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C2876D-2092-43D0-8EAE-9C537C8B2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2026-04-22T01:25:00Z</dcterms:created>
  <dcterms:modified xsi:type="dcterms:W3CDTF">2026-04-22T04:34:00Z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http://www.zotero.org/styles/chicago-fullnote-bibliography</vt:lpwstr>
  </property>
  <property fmtid="{D5CDD505-2E9C-101B-9397-08002B2CF9AE}" pid="13" name="Mendeley Recent Style Name 5_1">
    <vt:lpwstr>Chicago Manual of Style 17th edition (full note)</vt:lpwstr>
  </property>
  <property fmtid="{D5CDD505-2E9C-101B-9397-08002B2CF9AE}" pid="14" name="Mendeley Recent Style Id 6_1">
    <vt:lpwstr>http://www.zotero.org/styles/harvard-cite-them-right</vt:lpwstr>
  </property>
  <property fmtid="{D5CDD505-2E9C-101B-9397-08002B2CF9AE}" pid="15" name="Mendeley Recent Style Name 6_1">
    <vt:lpwstr>Cite Them Right 12th edition - Harvard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4th edition (note with bibliography)</vt:lpwstr>
  </property>
  <property fmtid="{D5CDD505-2E9C-101B-9397-08002B2CF9AE}" pid="20" name="Mendeley Recent Style Id 9_1">
    <vt:lpwstr>http://www.zotero.org/styles/modern-language-association</vt:lpwstr>
  </property>
  <property fmtid="{D5CDD505-2E9C-101B-9397-08002B2CF9AE}" pid="21" name="Mendeley Recent Style Name 9_1">
    <vt:lpwstr>Modern Language Association 9th edition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e2611565-0d81-33f7-a38f-b9070831c1be</vt:lpwstr>
  </property>
  <property fmtid="{D5CDD505-2E9C-101B-9397-08002B2CF9AE}" pid="24" name="Mendeley Citation Style_1">
    <vt:lpwstr>http://www.zotero.org/styles/modern-humanities-research-association</vt:lpwstr>
  </property>
</Properties>
</file>