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D980" w14:textId="5C24726B" w:rsidR="005A673B" w:rsidRDefault="005A673B" w:rsidP="00740BE8">
      <w:pPr>
        <w:spacing w:line="360" w:lineRule="auto"/>
        <w:jc w:val="both"/>
        <w:rPr>
          <w:rFonts w:ascii="Times New Roman" w:hAnsi="Times New Roman" w:cs="Times New Roman"/>
        </w:rPr>
      </w:pPr>
      <w:r>
        <w:rPr>
          <w:rFonts w:ascii="Times New Roman" w:hAnsi="Times New Roman" w:cs="Times New Roman"/>
        </w:rPr>
        <w:t>Nama: Yogi Noviana(23051066)</w:t>
      </w:r>
    </w:p>
    <w:p w14:paraId="3FD08D7D" w14:textId="03D80D67" w:rsidR="00740BE8" w:rsidRPr="00740BE8" w:rsidRDefault="00740BE8" w:rsidP="00740BE8">
      <w:pPr>
        <w:spacing w:line="360" w:lineRule="auto"/>
        <w:jc w:val="both"/>
        <w:rPr>
          <w:rFonts w:ascii="Times New Roman" w:hAnsi="Times New Roman" w:cs="Times New Roman"/>
        </w:rPr>
      </w:pPr>
      <w:r>
        <w:rPr>
          <w:rFonts w:ascii="Times New Roman" w:hAnsi="Times New Roman" w:cs="Times New Roman"/>
        </w:rPr>
        <w:t>1</w:t>
      </w:r>
      <w:r w:rsidRPr="00740BE8">
        <w:rPr>
          <w:rFonts w:ascii="Times New Roman" w:hAnsi="Times New Roman" w:cs="Times New Roman"/>
        </w:rPr>
        <w:t>.</w:t>
      </w:r>
      <w:r w:rsidRPr="00740BE8">
        <w:rPr>
          <w:rFonts w:ascii="Times New Roman" w:hAnsi="Times New Roman" w:cs="Times New Roman"/>
        </w:rPr>
        <w:t>Hukum Penggunaan Uang Digital dalam Islam</w:t>
      </w:r>
    </w:p>
    <w:p w14:paraId="69ED30BC" w14:textId="47F57602" w:rsidR="00C0560B"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Hukum penggunaan uang digital dalam Islam terbagi menjadi dua pandangan utama, yaitu boleh (mubah) dan tidak boleh (haram). Uang digital seperti e-money atau e-wallet yang diterbitkan oleh lembaga resmi pada umumnya diperbolehkan karena memenuhi unsur kemaslahatan serta diakui oleh negara sebagai bagian dari sistem keuangan modern. Selain itu, keberadaannya juga memberikan kemudahan dalam berbagai transaksi sehari-hari. Namun demikian, cryptocurrency masih menjadi perdebatan di kalangan ulama, bahkan sebagian besar cenderung mengharamkannya sebagai alat tukar karena mengandung unsur ketidakpastian yang tinggi serta belum memiliki regulasi yang jelas dan menyeluruh.</w:t>
      </w:r>
      <w:r>
        <w:rPr>
          <w:rStyle w:val="FootnoteReference"/>
          <w:rFonts w:ascii="Times New Roman" w:hAnsi="Times New Roman" w:cs="Times New Roman"/>
        </w:rPr>
        <w:footnoteReference w:id="1"/>
      </w:r>
    </w:p>
    <w:p w14:paraId="1545F205"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2. Pendapat Pertama (Boleh/Mubah)</w:t>
      </w:r>
    </w:p>
    <w:p w14:paraId="37625893" w14:textId="0ABFD351"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pertama menyatakan bahwa uang elektronik diperbolehkan dalam Islam karena memiliki fungsi yang sama seperti uang pada umumnya, yaitu sebagai alat tukar yang sah dan dapat digunakan untuk memenuhi kebutuhan manusia. Selain itu, penggunaan uang digital juga dinilai mampu memberikan kemudahan, kecepatan, serta efisiensi dalam bertransaksi, terutama di era digital seperti sekarang ini. Keberadaan lembaga resmi seperti Bank Indonesia juga menjadi faktor penting yang menjamin keamanan, keabsahan, dan pengawasan terhadap sistem uang elektronik tersebut sehingga dapat dipercaya oleh masyarakat luas.</w:t>
      </w:r>
      <w:r>
        <w:rPr>
          <w:rStyle w:val="FootnoteReference"/>
          <w:rFonts w:ascii="Times New Roman" w:hAnsi="Times New Roman" w:cs="Times New Roman"/>
        </w:rPr>
        <w:footnoteReference w:id="2"/>
      </w:r>
    </w:p>
    <w:p w14:paraId="52ECC011"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3. Pendapat Kedua (Haram)</w:t>
      </w:r>
    </w:p>
    <w:p w14:paraId="5F911CA6" w14:textId="082A9A6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kedua menyatakan bahwa penggunaan cryptocurrency sebagai alat tukar tidak diperbolehkan karena memiliki nilai yang sangat fluktuatif dan tidak stabil. Selain itu, cryptocurrency juga tidak memiliki aset dasar (underlying asset) yang jelas serta belum diakui secara resmi oleh negara sebagai alat pembayaran yang sah. Hal ini menyebabkan tingkat ketidakpastian yang tinggi dalam transaksi, sehingga berpotensi merugikan pihak-pihak yang terlibat. Oleh karena itu, sebagian ulama memandang bahwa penggunaan cryptocurrency lebih dekat kepada praktik yang dilarang dalam Islam.</w:t>
      </w:r>
      <w:r>
        <w:rPr>
          <w:rStyle w:val="FootnoteReference"/>
          <w:rFonts w:ascii="Times New Roman" w:hAnsi="Times New Roman" w:cs="Times New Roman"/>
        </w:rPr>
        <w:footnoteReference w:id="3"/>
      </w:r>
    </w:p>
    <w:p w14:paraId="5D04E94A"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4. Dalil Pendapat Pertama (Boleh)</w:t>
      </w:r>
    </w:p>
    <w:p w14:paraId="3417E6F0" w14:textId="071AC795"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lastRenderedPageBreak/>
        <w:t>Dalil yang digunakan oleh pendapat pertama antara lain terdapat dalam QS. An-Nisa ayat 29 yang menegaskan larangan memakan harta orang lain secara batil. Ayat ini menunjukkan bahwa selama suatu transaksi dilakukan secara sah dan tidak merugikan pihak lain, maka hukumnya diperbolehkan. Selain itu, kaidah fikih muamalah juga menyatakan bahwa hukum asal dalam muamalah adalah boleh selama tidak ada dalil yang melarangnya. Fatwa DSN-MUI No. 116 Tahun 2017 juga memperkuat pendapat ini dengan menyatakan bahwa penggunaan uang elektronik diperbolehkan selama sesuai dengan prinsip-prinsip syariah.</w:t>
      </w:r>
      <w:r>
        <w:rPr>
          <w:rStyle w:val="FootnoteReference"/>
          <w:rFonts w:ascii="Times New Roman" w:hAnsi="Times New Roman" w:cs="Times New Roman"/>
        </w:rPr>
        <w:footnoteReference w:id="4"/>
      </w:r>
    </w:p>
    <w:p w14:paraId="10EE9A37"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5. Dalil Pendapat Kedua (Haram)</w:t>
      </w:r>
    </w:p>
    <w:p w14:paraId="2C9ED8BE" w14:textId="233BF25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yang melarang didasarkan pada hadis yang melarang adanya unsur gharar (ketidakjelasan) dalam transaksi. Selain itu, QS. Al-Maidah ayat 90 juga melarang segala bentuk maysir (perjudian) yang dapat merugikan pihak tertentu. Cryptocurrency dinilai mengandung unsur-unsur tersebut karena nilainya yang tidak stabil dan sering digunakan untuk spekulasi. Di samping itu, Undang-Undang Nomor 7 Tahun 2011 menegaskan bahwa satu-satunya alat pembayaran yang sah di Indonesia adalah rupiah, sehingga penggunaan mata uang lain sebagai alat tukar dinilai tidak sesuai dengan ketentuan hukum yang berlaku.</w:t>
      </w:r>
      <w:r>
        <w:rPr>
          <w:rStyle w:val="FootnoteReference"/>
          <w:rFonts w:ascii="Times New Roman" w:hAnsi="Times New Roman" w:cs="Times New Roman"/>
        </w:rPr>
        <w:footnoteReference w:id="5"/>
      </w:r>
    </w:p>
    <w:p w14:paraId="64EDC3AB"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6. Metode Pendapat Pertama</w:t>
      </w:r>
    </w:p>
    <w:p w14:paraId="7216CAD6" w14:textId="263450BE"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yang membolehkan penggunaan uang digital menggunakan pendekatan maslahah mursalah, yaitu mempertimbangkan kemaslahatan atau manfaat yang lebih besar bagi masyarakat. Dalam konteks ini, teknologi digital dianggap mampu memberikan kemudahan, efisiensi, serta kecepatan dalam berbagai transaksi ekonomi. Oleh karena itu, selama tidak bertentangan dengan prinsip syariah, penggunaan uang digital dapat diterima sebagai bagian dari perkembangan zaman.</w:t>
      </w:r>
      <w:r w:rsidR="00185E33">
        <w:rPr>
          <w:rStyle w:val="FootnoteReference"/>
          <w:rFonts w:ascii="Times New Roman" w:hAnsi="Times New Roman" w:cs="Times New Roman"/>
        </w:rPr>
        <w:footnoteReference w:id="6"/>
      </w:r>
    </w:p>
    <w:p w14:paraId="4470F50D"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7. Metode Pendapat Kedua</w:t>
      </w:r>
    </w:p>
    <w:p w14:paraId="3C75D55B" w14:textId="021186E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 xml:space="preserve">Pendapat yang melarang menggunakan metode sadd adz-dzari’ah, yaitu menutup jalan yang dapat membawa kepada kerugian atau kemudaratan. Cryptocurrency dianggap berpotensi menimbulkan bahaya karena memiliki unsur spekulatif yang tinggi serta rawan </w:t>
      </w:r>
      <w:r w:rsidRPr="00740BE8">
        <w:rPr>
          <w:rFonts w:ascii="Times New Roman" w:hAnsi="Times New Roman" w:cs="Times New Roman"/>
        </w:rPr>
        <w:lastRenderedPageBreak/>
        <w:t>disalahgunakan. Oleh sebab itu, larangan ini bertujuan untuk melindungi masyarakat dari risiko kerugian yang besar.</w:t>
      </w:r>
      <w:r w:rsidR="00185E33">
        <w:rPr>
          <w:rStyle w:val="FootnoteReference"/>
          <w:rFonts w:ascii="Times New Roman" w:hAnsi="Times New Roman" w:cs="Times New Roman"/>
        </w:rPr>
        <w:footnoteReference w:id="7"/>
      </w:r>
    </w:p>
    <w:p w14:paraId="0F86D18A"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8. Alasan Ulama Membolehkan</w:t>
      </w:r>
    </w:p>
    <w:p w14:paraId="42214791" w14:textId="64139C5C"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Ulama yang membolehkan berpendapat bahwa uang digital seperti e-wallet memiliki fungsi yang sama dengan uang tunai dalam kehidupan sehari-hari. Selain itu, sistemnya yang berada dalam pengawasan lembaga resmi menjadikannya relatif aman untuk digunakan. Selama tidak mengandung unsur riba, gharar, maupun maysir, serta digunakan secara bijak, maka penggunaannya dianggap sah dalam Islam.</w:t>
      </w:r>
      <w:r w:rsidR="00185E33">
        <w:rPr>
          <w:rStyle w:val="FootnoteReference"/>
          <w:rFonts w:ascii="Times New Roman" w:hAnsi="Times New Roman" w:cs="Times New Roman"/>
        </w:rPr>
        <w:footnoteReference w:id="8"/>
      </w:r>
    </w:p>
    <w:p w14:paraId="11C35481"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9. Alasan Ulama Melarang</w:t>
      </w:r>
    </w:p>
    <w:p w14:paraId="0D8D8FA4" w14:textId="611E488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Sebaliknya, ulama yang melarang berpendapat bahwa cryptocurrency mengandung unsur gharar karena nilainya tidak stabil dan sulit diprediksi. Selain itu, terdapat unsur dharar karena berpotensi menimbulkan kerugian bagi pengguna, serta maysir karena sering digunakan untuk aktivitas spekulatif yang menyerupai perjudian. Oleh karena itu, penggunaannya dinilai tidak sesuai dengan prinsip-prinsip syariah.</w:t>
      </w:r>
      <w:r w:rsidR="00185E33">
        <w:rPr>
          <w:rStyle w:val="FootnoteReference"/>
          <w:rFonts w:ascii="Times New Roman" w:hAnsi="Times New Roman" w:cs="Times New Roman"/>
        </w:rPr>
        <w:footnoteReference w:id="9"/>
      </w:r>
    </w:p>
    <w:p w14:paraId="0ACC3197" w14:textId="0250642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10. Sisi Lemah Pendapat Pertama</w:t>
      </w:r>
      <w:r w:rsidR="00185E33">
        <w:rPr>
          <w:rFonts w:ascii="Times New Roman" w:hAnsi="Times New Roman" w:cs="Times New Roman"/>
        </w:rPr>
        <w:t xml:space="preserve"> </w:t>
      </w:r>
    </w:p>
    <w:p w14:paraId="56972B5F" w14:textId="1EFFF00E"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Kelemahan dari pendapat yang membolehkan adalah adanya potensi unsur riba apabila uang digital dikelola oleh lembaga keuangan konvensional yang tidak berbasis syariah. Selain itu, perlindungan terhadap risiko tertentu masih belum maksimal, terutama pada aset digital yang belum memiliki regulasi yang kuat, seperti cryptocurrency.</w:t>
      </w:r>
      <w:r w:rsidR="0004781D">
        <w:rPr>
          <w:rStyle w:val="FootnoteReference"/>
          <w:rFonts w:ascii="Times New Roman" w:hAnsi="Times New Roman" w:cs="Times New Roman"/>
        </w:rPr>
        <w:footnoteReference w:id="10"/>
      </w:r>
    </w:p>
    <w:p w14:paraId="0067BA3A"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11. Sisi Lemah Pendapat Kedua</w:t>
      </w:r>
    </w:p>
    <w:p w14:paraId="265FE6F6" w14:textId="55EFF47E"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yang melarang dinilai kurang mempertimbangkan perkembangan teknologi yang semakin pesat, seperti sistem blockchain yang sebenarnya memiliki tingkat transparansi dan keamanan yang tinggi. Selain itu, pendapat ini juga dianggap belum mampu membedakan secara jelas antara fungsi cryptocurrency sebagai alat tukar dan sebagai komoditas investasi.</w:t>
      </w:r>
      <w:r w:rsidR="0004781D">
        <w:rPr>
          <w:rStyle w:val="FootnoteReference"/>
          <w:rFonts w:ascii="Times New Roman" w:hAnsi="Times New Roman" w:cs="Times New Roman"/>
        </w:rPr>
        <w:footnoteReference w:id="11"/>
      </w:r>
    </w:p>
    <w:p w14:paraId="482C456F"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12. Sisi Kuat Pendapat Pertama</w:t>
      </w:r>
    </w:p>
    <w:p w14:paraId="657081EC" w14:textId="7F801A70"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lastRenderedPageBreak/>
        <w:t>Pendapat ini memiliki keunggulan karena mampu menyesuaikan diri dengan perkembangan zaman dan kebutuhan masyarakat modern. Selain itu, penggunaan uang digital juga dinilai lebih efisien dan praktis, serta didukung oleh regulasi negara dan fatwa resmi yang memberikan kepastian hukum bagi pengguna.</w:t>
      </w:r>
      <w:r w:rsidR="0004781D">
        <w:rPr>
          <w:rStyle w:val="FootnoteReference"/>
          <w:rFonts w:ascii="Times New Roman" w:hAnsi="Times New Roman" w:cs="Times New Roman"/>
        </w:rPr>
        <w:footnoteReference w:id="12"/>
      </w:r>
    </w:p>
    <w:p w14:paraId="28352955"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13. Sisi Kuat Pendapat Kedua</w:t>
      </w:r>
    </w:p>
    <w:p w14:paraId="1A7F5941" w14:textId="73D66564"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Pendapat yang melarang memiliki keunggulan dalam hal kehati-hatian (ihtiyat) untuk menjaga harta umat agar terhindar dari risiko kerugian. Dengan menghindari transaksi yang mengandung unsur spekulasi dan ketidakpastian, pendapat ini berusaha menjaga stabilitas dan keamanan dalam kegiatan ekonomi.</w:t>
      </w:r>
      <w:r w:rsidR="0004781D">
        <w:rPr>
          <w:rStyle w:val="FootnoteReference"/>
          <w:rFonts w:ascii="Times New Roman" w:hAnsi="Times New Roman" w:cs="Times New Roman"/>
        </w:rPr>
        <w:footnoteReference w:id="13"/>
      </w:r>
    </w:p>
    <w:p w14:paraId="228FCF02"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14. Persamaan Kedua Pendapat</w:t>
      </w:r>
    </w:p>
    <w:p w14:paraId="68D7C673" w14:textId="5537F48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Meskipun terdapat perbedaan pandangan, kedua pendapat sepakat bahwa transaksi yang mengandung unsur riba, gharar, maysir, dan dharar adalah haram dalam Islam. Oleh karena itu, prinsip kehati-hatian dan keadilan tetap menjadi dasar utama dalam setiap aktivitas muamalah, termasuk dalam penggunaan uang digital.</w:t>
      </w:r>
      <w:r w:rsidR="0004781D">
        <w:rPr>
          <w:rStyle w:val="FootnoteReference"/>
          <w:rFonts w:ascii="Times New Roman" w:hAnsi="Times New Roman" w:cs="Times New Roman"/>
        </w:rPr>
        <w:footnoteReference w:id="14"/>
      </w:r>
    </w:p>
    <w:p w14:paraId="3D22CDA7"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15. Ulama/Lembaga yang Membolehkan</w:t>
      </w:r>
    </w:p>
    <w:p w14:paraId="74E28905" w14:textId="22EEDD98"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Beberapa lembaga seperti DSN-MUI membolehkan penggunaan e-money selama sesuai dengan prinsip syariah. Selain itu, sejumlah ulama kontemporer juga mendukung penggunaan teknologi keuangan digital karena dinilai memberikan manfaat yang besar bagi masyarakat luas.</w:t>
      </w:r>
      <w:r w:rsidR="0004781D">
        <w:rPr>
          <w:rStyle w:val="FootnoteReference"/>
          <w:rFonts w:ascii="Times New Roman" w:hAnsi="Times New Roman" w:cs="Times New Roman"/>
        </w:rPr>
        <w:footnoteReference w:id="15"/>
      </w:r>
    </w:p>
    <w:p w14:paraId="687C3AA3"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16. Ulama/Lembaga yang Melarang</w:t>
      </w:r>
    </w:p>
    <w:p w14:paraId="00E26EF0" w14:textId="03A9407B"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Sebaliknya, beberapa lembaga seperti Ijtima Ulama MUI 2021, Darul Ifta Al-Azhar, serta Bahtsul Masail NU Jawa Timur melarang penggunaan cryptocurrency sebagai alat tukar karena dianggap mengandung unsur ketidakpastian dan spekulasi yang tinggi.</w:t>
      </w:r>
      <w:r w:rsidR="005A673B">
        <w:rPr>
          <w:rStyle w:val="FootnoteReference"/>
          <w:rFonts w:ascii="Times New Roman" w:hAnsi="Times New Roman" w:cs="Times New Roman"/>
        </w:rPr>
        <w:footnoteReference w:id="16"/>
      </w:r>
    </w:p>
    <w:p w14:paraId="09C69A00" w14:textId="77777777"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17. Analisis Pendapat Pribadi</w:t>
      </w:r>
    </w:p>
    <w:p w14:paraId="372C5A2F" w14:textId="1BE73D43" w:rsidR="00740BE8" w:rsidRPr="00740BE8" w:rsidRDefault="00740BE8" w:rsidP="00740BE8">
      <w:pPr>
        <w:spacing w:line="360" w:lineRule="auto"/>
        <w:jc w:val="both"/>
        <w:rPr>
          <w:rFonts w:ascii="Times New Roman" w:hAnsi="Times New Roman" w:cs="Times New Roman"/>
        </w:rPr>
      </w:pPr>
      <w:r w:rsidRPr="00740BE8">
        <w:rPr>
          <w:rFonts w:ascii="Times New Roman" w:hAnsi="Times New Roman" w:cs="Times New Roman"/>
        </w:rPr>
        <w:t xml:space="preserve">Berdasarkan berbagai pendapat yang telah dijelaskan, dapat disimpulkan bahwa penggunaan e-money atau e-wallet hukumnya boleh selama tidak mengandung unsur yang dilarang dalam </w:t>
      </w:r>
      <w:r w:rsidRPr="00740BE8">
        <w:rPr>
          <w:rFonts w:ascii="Times New Roman" w:hAnsi="Times New Roman" w:cs="Times New Roman"/>
        </w:rPr>
        <w:lastRenderedPageBreak/>
        <w:t>Islam dan berada dalam pengawasan lembaga resmi. Sementara itu, penggunaan cryptocurrency sebagai alat tukar cenderung haram menurut mayoritas ulama. Adapun sebagai komoditas, statusnya masih berada dalam wilayah syubhat sehingga lebih baik dihindari sebagai bentuk kehati-hatian dalam menjaga harta.</w:t>
      </w:r>
      <w:r w:rsidR="005A673B">
        <w:rPr>
          <w:rStyle w:val="FootnoteReference"/>
          <w:rFonts w:ascii="Times New Roman" w:hAnsi="Times New Roman" w:cs="Times New Roman"/>
        </w:rPr>
        <w:footnoteReference w:id="17"/>
      </w:r>
    </w:p>
    <w:sectPr w:rsidR="00740BE8" w:rsidRPr="00740BE8" w:rsidSect="00D544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46C21" w14:textId="77777777" w:rsidR="00383F66" w:rsidRDefault="00383F66" w:rsidP="00740BE8">
      <w:pPr>
        <w:spacing w:after="0" w:line="240" w:lineRule="auto"/>
      </w:pPr>
      <w:r>
        <w:separator/>
      </w:r>
    </w:p>
  </w:endnote>
  <w:endnote w:type="continuationSeparator" w:id="0">
    <w:p w14:paraId="7CF2B0E4" w14:textId="77777777" w:rsidR="00383F66" w:rsidRDefault="00383F66" w:rsidP="00740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8B3A" w14:textId="77777777" w:rsidR="00383F66" w:rsidRDefault="00383F66" w:rsidP="00740BE8">
      <w:pPr>
        <w:spacing w:after="0" w:line="240" w:lineRule="auto"/>
      </w:pPr>
      <w:r>
        <w:separator/>
      </w:r>
    </w:p>
  </w:footnote>
  <w:footnote w:type="continuationSeparator" w:id="0">
    <w:p w14:paraId="38C27BD1" w14:textId="77777777" w:rsidR="00383F66" w:rsidRDefault="00383F66" w:rsidP="00740BE8">
      <w:pPr>
        <w:spacing w:after="0" w:line="240" w:lineRule="auto"/>
      </w:pPr>
      <w:r>
        <w:continuationSeparator/>
      </w:r>
    </w:p>
  </w:footnote>
  <w:footnote w:id="1">
    <w:p w14:paraId="2EBD022B" w14:textId="73A2E9C3" w:rsidR="00740BE8" w:rsidRDefault="00740BE8">
      <w:pPr>
        <w:pStyle w:val="FootnoteText"/>
      </w:pPr>
      <w:r>
        <w:rPr>
          <w:rStyle w:val="FootnoteReference"/>
        </w:rPr>
        <w:footnoteRef/>
      </w:r>
      <w:r>
        <w:t xml:space="preserve"> </w:t>
      </w:r>
      <w:r>
        <w:fldChar w:fldCharType="begin" w:fldLock="1"/>
      </w:r>
      <w:r>
        <w:instrText>ADDIN CSL_CITATION {"citationItems":[{"id":"ITEM-1","itemData":{"author":[{"dropping-particle":"","family":"Online","given":"NU","non-dropping-particle":"","parse-names":false,"suffix":""}],"id":"ITEM-1","issued":{"date-parts":[["2022"]]},"title":"Rupiah Digital Prespektif Fikih Muamalah","type":"webpage"},"uris":["http://www.mendeley.com/documents/?uuid=d299d60c-baae-4907-9f34-bdf605ffaba1"]}],"mendeley":{"formattedCitation":"NU Online, “Rupiah Digital Prespektif Fikih Muamalah,” 2022.","plainTextFormattedCitation":"NU Online, “Rupiah Digital Prespektif Fikih Muamalah,” 2022.","previouslyFormattedCitation":"NU Online, “Rupiah Digital Prespektif Fikih Muamalah,” 2022."},"properties":{"noteIndex":1},"schema":"https://github.com/citation-style-language/schema/raw/master/csl-citation.json"}</w:instrText>
      </w:r>
      <w:r>
        <w:fldChar w:fldCharType="separate"/>
      </w:r>
      <w:r w:rsidRPr="00740BE8">
        <w:rPr>
          <w:noProof/>
        </w:rPr>
        <w:t>NU Online, “Rupiah Digital Prespektif Fikih Muamalah,” 2022.</w:t>
      </w:r>
      <w:r>
        <w:fldChar w:fldCharType="end"/>
      </w:r>
    </w:p>
  </w:footnote>
  <w:footnote w:id="2">
    <w:p w14:paraId="7C1A6DF0" w14:textId="3417E139" w:rsidR="00740BE8" w:rsidRDefault="00740BE8">
      <w:pPr>
        <w:pStyle w:val="FootnoteText"/>
      </w:pPr>
      <w:r>
        <w:rPr>
          <w:rStyle w:val="FootnoteReference"/>
        </w:rPr>
        <w:footnoteRef/>
      </w:r>
      <w:r>
        <w:t xml:space="preserve"> </w:t>
      </w:r>
      <w:r>
        <w:fldChar w:fldCharType="begin" w:fldLock="1"/>
      </w:r>
      <w:r>
        <w:instrText>ADDIN CSL_CITATION {"citationItems":[{"id":"ITEM-1","itemData":{"author":[{"dropping-particle":"","family":"Online","given":"NU","non-dropping-particle":"","parse-names":false,"suffix":""}],"id":"ITEM-1","issued":{"date-parts":[["2022"]]},"title":"Rupiah Digital Prespektif Fikih Muamalah","type":"webpage"},"uris":["http://www.mendeley.com/documents/?uuid=d299d60c-baae-4907-9f34-bdf605ffaba1"]}],"mendeley":{"formattedCitation":"Online.","plainTextFormattedCitation":"Online.","previouslyFormattedCitation":"Online."},"properties":{"noteIndex":2},"schema":"https://github.com/citation-style-language/schema/raw/master/csl-citation.json"}</w:instrText>
      </w:r>
      <w:r>
        <w:fldChar w:fldCharType="separate"/>
      </w:r>
      <w:r w:rsidRPr="00740BE8">
        <w:rPr>
          <w:noProof/>
        </w:rPr>
        <w:t>Online.</w:t>
      </w:r>
      <w:r>
        <w:fldChar w:fldCharType="end"/>
      </w:r>
    </w:p>
  </w:footnote>
  <w:footnote w:id="3">
    <w:p w14:paraId="65717C7D" w14:textId="7CF36673" w:rsidR="00740BE8" w:rsidRDefault="00740BE8">
      <w:pPr>
        <w:pStyle w:val="FootnoteText"/>
      </w:pPr>
      <w:r>
        <w:rPr>
          <w:rStyle w:val="FootnoteReference"/>
        </w:rPr>
        <w:footnoteRef/>
      </w:r>
      <w:r>
        <w:t xml:space="preserve"> </w:t>
      </w:r>
      <w:r>
        <w:fldChar w:fldCharType="begin" w:fldLock="1"/>
      </w:r>
      <w:r>
        <w:instrText>ADDIN CSL_CITATION {"citationItems":[{"id":"ITEM-1","itemData":{"URL":"https://youtu.be/g-KQb77MSy4 ","author":[{"dropping-particle":"","family":"Youtube","given":"","non-dropping-particle":"","parse-names":false,"suffix":""}],"id":"ITEM-1","issued":{"date-parts":[["2023"]]},"title":"Hukum Kripto dalam Islam","type":"webpage"},"uris":["http://www.mendeley.com/documents/?uuid=4997c334-d17b-4a0f-a525-132236cd7804"]}],"mendeley":{"formattedCitation":"Youtube, “Hukum Kripto Dalam Islam,” 2023, https://youtu.be/g-KQb77MSy4 .","plainTextFormattedCitation":"Youtube, “Hukum Kripto Dalam Islam,” 2023, https://youtu.be/g-KQb77MSy4 .","previouslyFormattedCitation":"Youtube, “Hukum Kripto Dalam Islam,” 2023, https://youtu.be/g-KQb77MSy4 ."},"properties":{"noteIndex":3},"schema":"https://github.com/citation-style-language/schema/raw/master/csl-citation.json"}</w:instrText>
      </w:r>
      <w:r>
        <w:fldChar w:fldCharType="separate"/>
      </w:r>
      <w:r w:rsidRPr="00740BE8">
        <w:rPr>
          <w:noProof/>
        </w:rPr>
        <w:t>Youtube, “Hukum Kripto Dalam Islam,” 2023, https://youtu.be/g-KQb77MSy4 .</w:t>
      </w:r>
      <w:r>
        <w:fldChar w:fldCharType="end"/>
      </w:r>
    </w:p>
  </w:footnote>
  <w:footnote w:id="4">
    <w:p w14:paraId="29675C32" w14:textId="4B594460" w:rsidR="00740BE8" w:rsidRDefault="00740BE8">
      <w:pPr>
        <w:pStyle w:val="FootnoteText"/>
      </w:pPr>
      <w:r>
        <w:rPr>
          <w:rStyle w:val="FootnoteReference"/>
        </w:rPr>
        <w:footnoteRef/>
      </w:r>
      <w:r>
        <w:t xml:space="preserve"> </w:t>
      </w:r>
      <w:r>
        <w:fldChar w:fldCharType="begin" w:fldLock="1"/>
      </w:r>
      <w:r>
        <w:instrText>ADDIN CSL_CITATION {"citationItems":[{"id":"ITEM-1","itemData":{"author":[{"dropping-particle":"","family":"MUI","given":"Dewan Syariah Nasional","non-dropping-particle":"","parse-names":false,"suffix":""}],"id":"ITEM-1","issued":{"date-parts":[["2017"]]},"title":"Fatwa DSN-MUI No.116/DSN-MUI/IX/2017 tentang Uang Elektronik","type":"report"},"uris":["http://www.mendeley.com/documents/?uuid=dc6cf420-fb0e-4e81-9950-16b89c6e1268"]}],"mendeley":{"formattedCitation":"Dewan Syariah Nasional MUI, “Fatwa DSN-MUI No.116/DSN-MUI/IX/2017 Tentang Uang Elektronik,” 2017.","plainTextFormattedCitation":"Dewan Syariah Nasional MUI, “Fatwa DSN-MUI No.116/DSN-MUI/IX/2017 Tentang Uang Elektronik,” 2017.","previouslyFormattedCitation":"Dewan Syariah Nasional MUI, “Fatwa DSN-MUI No.116/DSN-MUI/IX/2017 Tentang Uang Elektronik,” 2017."},"properties":{"noteIndex":4},"schema":"https://github.com/citation-style-language/schema/raw/master/csl-citation.json"}</w:instrText>
      </w:r>
      <w:r>
        <w:fldChar w:fldCharType="separate"/>
      </w:r>
      <w:r w:rsidRPr="00740BE8">
        <w:rPr>
          <w:noProof/>
        </w:rPr>
        <w:t>Dewan Syariah Nasional MUI, “Fatwa DSN-MUI No.116/DSN-MUI/IX/2017 Tentang Uang Elektronik,” 2017.</w:t>
      </w:r>
      <w:r>
        <w:fldChar w:fldCharType="end"/>
      </w:r>
    </w:p>
  </w:footnote>
  <w:footnote w:id="5">
    <w:p w14:paraId="4DCC1100" w14:textId="57F92121" w:rsidR="00740BE8" w:rsidRDefault="00740BE8">
      <w:pPr>
        <w:pStyle w:val="FootnoteText"/>
      </w:pPr>
      <w:r>
        <w:rPr>
          <w:rStyle w:val="FootnoteReference"/>
        </w:rPr>
        <w:footnoteRef/>
      </w:r>
      <w:r>
        <w:t xml:space="preserve"> </w:t>
      </w:r>
      <w:r>
        <w:fldChar w:fldCharType="begin" w:fldLock="1"/>
      </w:r>
      <w:r w:rsidR="00185E33">
        <w:instrText>ADDIN CSL_CITATION {"citationItems":[{"id":"ITEM-1","itemData":{"author":[{"dropping-particle":"","family":"Indonesia","given":"Pemerintahan Republik","non-dropping-particle":"","parse-names":false,"suffix":""}],"id":"ITEM-1","issued":{"date-parts":[["2011"]]},"title":"Undang-Undang Nomor 7 Tahun 2011 tentang Mata Uang","type":"report"},"uris":["http://www.mendeley.com/documents/?uuid=878ef5ea-9d8d-46dd-8fc3-11c2c4d34bae"]}],"mendeley":{"formattedCitation":"Pemerintahan Republik Indonesia, “Undang-Undang Nomor 7 Tahun 2011 Tentang Mata Uang,” 2011.","plainTextFormattedCitation":"Pemerintahan Republik Indonesia, “Undang-Undang Nomor 7 Tahun 2011 Tentang Mata Uang,” 2011.","previouslyFormattedCitation":"Pemerintahan Republik Indonesia, “Undang-Undang Nomor 7 Tahun 2011 Tentang Mata Uang,” 2011."},"properties":{"noteIndex":5},"schema":"https://github.com/citation-style-language/schema/raw/master/csl-citation.json"}</w:instrText>
      </w:r>
      <w:r>
        <w:fldChar w:fldCharType="separate"/>
      </w:r>
      <w:r w:rsidRPr="00740BE8">
        <w:rPr>
          <w:noProof/>
        </w:rPr>
        <w:t>Pemerintahan Republik Indonesia, “Undang-Undang Nomor 7 Tahun 2011 Tentang Mata Uang,” 2011.</w:t>
      </w:r>
      <w:r>
        <w:fldChar w:fldCharType="end"/>
      </w:r>
    </w:p>
  </w:footnote>
  <w:footnote w:id="6">
    <w:p w14:paraId="400A53BA" w14:textId="3887410E" w:rsidR="00185E33" w:rsidRDefault="00185E33">
      <w:pPr>
        <w:pStyle w:val="FootnoteText"/>
      </w:pPr>
      <w:r>
        <w:rPr>
          <w:rStyle w:val="FootnoteReference"/>
        </w:rPr>
        <w:footnoteRef/>
      </w:r>
      <w:r>
        <w:t xml:space="preserve"> </w:t>
      </w:r>
      <w:r>
        <w:fldChar w:fldCharType="begin" w:fldLock="1"/>
      </w:r>
      <w:r>
        <w:instrText>ADDIN CSL_CITATION {"citationItems":[{"id":"ITEM-1","itemData":{"container-title":"jurnal falah","id":"ITEM-1","issued":{"date-parts":[["2020"]]},"title":"Kajian Transaksi Digital dalam Fikih Muamalah","type":"article-journal"},"uris":["http://www.mendeley.com/documents/?uuid=dad83dcc-0c48-4a98-9523-e28d402a1cd5"]}],"mendeley":{"formattedCitation":"“Kajian Transaksi Digital Dalam Fikih Muamalah,” &lt;i&gt;Jurnal Falah&lt;/i&gt;, 2020.","plainTextFormattedCitation":"“Kajian Transaksi Digital Dalam Fikih Muamalah,” Jurnal Falah, 2020.","previouslyFormattedCitation":"“Kajian Transaksi Digital Dalam Fikih Muamalah,” &lt;i&gt;Jurnal Falah&lt;/i&gt;, 2020."},"properties":{"noteIndex":6},"schema":"https://github.com/citation-style-language/schema/raw/master/csl-citation.json"}</w:instrText>
      </w:r>
      <w:r>
        <w:fldChar w:fldCharType="separate"/>
      </w:r>
      <w:r w:rsidRPr="00185E33">
        <w:rPr>
          <w:noProof/>
        </w:rPr>
        <w:t xml:space="preserve">“Kajian Transaksi Digital Dalam Fikih Muamalah,” </w:t>
      </w:r>
      <w:r w:rsidRPr="00185E33">
        <w:rPr>
          <w:i/>
          <w:noProof/>
        </w:rPr>
        <w:t>Jurnal Falah</w:t>
      </w:r>
      <w:r w:rsidRPr="00185E33">
        <w:rPr>
          <w:noProof/>
        </w:rPr>
        <w:t>, 2020.</w:t>
      </w:r>
      <w:r>
        <w:fldChar w:fldCharType="end"/>
      </w:r>
    </w:p>
  </w:footnote>
  <w:footnote w:id="7">
    <w:p w14:paraId="757101A3" w14:textId="59AD62A2" w:rsidR="00185E33" w:rsidRDefault="00185E33">
      <w:pPr>
        <w:pStyle w:val="FootnoteText"/>
      </w:pPr>
      <w:r>
        <w:rPr>
          <w:rStyle w:val="FootnoteReference"/>
        </w:rPr>
        <w:footnoteRef/>
      </w:r>
      <w:r>
        <w:t xml:space="preserve"> </w:t>
      </w:r>
      <w:r>
        <w:fldChar w:fldCharType="begin" w:fldLock="1"/>
      </w:r>
      <w:r>
        <w:instrText>ADDIN CSL_CITATION {"citationItems":[{"id":"ITEM-1","itemData":{"author":[{"dropping-particle":"","family":"Muhammadiyah.or.id","given":"","non-dropping-particle":"","parse-names":false,"suffix":""}],"id":"ITEM-1","issued":{"date-parts":[["2021"]]},"title":"Mata Uang Kripto Tidak Sekedar Mubah atau Haram","type":"webpage"},"uris":["http://www.mendeley.com/documents/?uuid=336034bc-530f-4dec-8163-70abedc92f84"]}],"mendeley":{"formattedCitation":"Muhammadiyah.or.id, “Mata Uang Kripto Tidak Sekedar Mubah Atau Haram,” 2021.","plainTextFormattedCitation":"Muhammadiyah.or.id, “Mata Uang Kripto Tidak Sekedar Mubah Atau Haram,” 2021.","previouslyFormattedCitation":"Muhammadiyah.or.id, “Mata Uang Kripto Tidak Sekedar Mubah Atau Haram,” 2021."},"properties":{"noteIndex":7},"schema":"https://github.com/citation-style-language/schema/raw/master/csl-citation.json"}</w:instrText>
      </w:r>
      <w:r>
        <w:fldChar w:fldCharType="separate"/>
      </w:r>
      <w:r w:rsidRPr="00185E33">
        <w:rPr>
          <w:noProof/>
        </w:rPr>
        <w:t>Muhammadiyah.or.id, “Mata Uang Kripto Tidak Sekedar Mubah Atau Haram,” 2021.</w:t>
      </w:r>
      <w:r>
        <w:fldChar w:fldCharType="end"/>
      </w:r>
    </w:p>
  </w:footnote>
  <w:footnote w:id="8">
    <w:p w14:paraId="5F624F09" w14:textId="7CFC516A" w:rsidR="00185E33" w:rsidRDefault="00185E33">
      <w:pPr>
        <w:pStyle w:val="FootnoteText"/>
      </w:pPr>
      <w:r>
        <w:rPr>
          <w:rStyle w:val="FootnoteReference"/>
        </w:rPr>
        <w:footnoteRef/>
      </w:r>
      <w:r>
        <w:t xml:space="preserve"> </w:t>
      </w:r>
      <w:r>
        <w:fldChar w:fldCharType="begin" w:fldLock="1"/>
      </w:r>
      <w:r>
        <w:instrText>ADDIN CSL_CITATION {"citationItems":[{"id":"ITEM-1","itemData":{"container-title":"jurnal falah","id":"ITEM-1","issued":{"date-parts":[["2020"]]},"title":"Kajian Transaksi Digital dalam Fikih Muamalah","type":"article-journal"},"uris":["http://www.mendeley.com/documents/?uuid=dad83dcc-0c48-4a98-9523-e28d402a1cd5"]}],"mendeley":{"formattedCitation":"“Kajian Transaksi Digital Dalam Fikih Muamalah.”","plainTextFormattedCitation":"“Kajian Transaksi Digital Dalam Fikih Muamalah.”","previouslyFormattedCitation":"“Kajian Transaksi Digital Dalam Fikih Muamalah.”"},"properties":{"noteIndex":8},"schema":"https://github.com/citation-style-language/schema/raw/master/csl-citation.json"}</w:instrText>
      </w:r>
      <w:r>
        <w:fldChar w:fldCharType="separate"/>
      </w:r>
      <w:r w:rsidRPr="00185E33">
        <w:rPr>
          <w:noProof/>
        </w:rPr>
        <w:t>“Kajian Transaksi Digital Dalam Fikih Muamalah.”</w:t>
      </w:r>
      <w:r>
        <w:fldChar w:fldCharType="end"/>
      </w:r>
    </w:p>
  </w:footnote>
  <w:footnote w:id="9">
    <w:p w14:paraId="61D0B377" w14:textId="26F4261E" w:rsidR="00185E33" w:rsidRDefault="00185E33">
      <w:pPr>
        <w:pStyle w:val="FootnoteText"/>
      </w:pPr>
      <w:r>
        <w:rPr>
          <w:rStyle w:val="FootnoteReference"/>
        </w:rPr>
        <w:footnoteRef/>
      </w:r>
      <w:r>
        <w:t xml:space="preserve"> </w:t>
      </w:r>
      <w:r>
        <w:fldChar w:fldCharType="begin" w:fldLock="1"/>
      </w:r>
      <w:r w:rsidR="0004781D">
        <w:instrText>ADDIN CSL_CITATION {"citationItems":[{"id":"ITEM-1","itemData":{"author":[{"dropping-particle":"","family":"Universitas Ahmad Dahlan","given":"","non-dropping-particle":"","parse-names":false,"suffix":""}],"id":"ITEM-1","issued":{"date-parts":[["2020"]]},"title":"Pro kontra Cryptocurrency dalam Fiqih Muamalah","type":"report"},"uris":["http://www.mendeley.com/documents/?uuid=44cc52a3-7353-45d4-9ce5-8bbdcfa0fb02"]}],"mendeley":{"formattedCitation":"Universitas Ahmad Dahlan, “Pro Kontra Cryptocurrency Dalam Fiqih Muamalah,” 2020.","plainTextFormattedCitation":"Universitas Ahmad Dahlan, “Pro Kontra Cryptocurrency Dalam Fiqih Muamalah,” 2020.","previouslyFormattedCitation":"Universitas Ahmad Dahlan, “Pro Kontra Cryptocurrency Dalam Fiqih Muamalah,” 2020."},"properties":{"noteIndex":9},"schema":"https://github.com/citation-style-language/schema/raw/master/csl-citation.json"}</w:instrText>
      </w:r>
      <w:r>
        <w:fldChar w:fldCharType="separate"/>
      </w:r>
      <w:r w:rsidRPr="00185E33">
        <w:rPr>
          <w:noProof/>
        </w:rPr>
        <w:t>Universitas Ahmad Dahlan, “Pro Kontra Cryptocurrency Dalam Fiqih Muamalah,” 2020.</w:t>
      </w:r>
      <w:r>
        <w:fldChar w:fldCharType="end"/>
      </w:r>
    </w:p>
  </w:footnote>
  <w:footnote w:id="10">
    <w:p w14:paraId="5BA903E7" w14:textId="34161454" w:rsidR="0004781D" w:rsidRDefault="0004781D">
      <w:pPr>
        <w:pStyle w:val="FootnoteText"/>
      </w:pPr>
      <w:r>
        <w:rPr>
          <w:rStyle w:val="FootnoteReference"/>
        </w:rPr>
        <w:footnoteRef/>
      </w:r>
      <w:r>
        <w:t xml:space="preserve"> </w:t>
      </w:r>
      <w:r>
        <w:fldChar w:fldCharType="begin" w:fldLock="1"/>
      </w:r>
      <w:r>
        <w:instrText>ADDIN CSL_CITATION {"citationItems":[{"id":"ITEM-1","itemData":{"URL":"https:/youtu.be/ZylwsAB0BYg ","author":[{"dropping-particle":"","family":"Youtue","given":"","non-dropping-particle":"","parse-names":false,"suffix":""}],"id":"ITEM-1","issued":{"date-parts":[["2023"]]},"title":"Kajian Ekonomi Syariah tentang Cryptocurrency","type":"webpage"},"uris":["http://www.mendeley.com/documents/?uuid=814db5cc-7c91-4b4a-aca1-67b7e2e9c63c"]}],"mendeley":{"formattedCitation":"Youtue, “Kajian Ekonomi Syariah Tentang Cryptocurrency,” 2023, https:/youtu.be/ZylwsAB0BYg .","plainTextFormattedCitation":"Youtue, “Kajian Ekonomi Syariah Tentang Cryptocurrency,” 2023, https:/youtu.be/ZylwsAB0BYg .","previouslyFormattedCitation":"Youtue, “Kajian Ekonomi Syariah Tentang Cryptocurrency,” 2023, https:/youtu.be/ZylwsAB0BYg ."},"properties":{"noteIndex":10},"schema":"https://github.com/citation-style-language/schema/raw/master/csl-citation.json"}</w:instrText>
      </w:r>
      <w:r>
        <w:fldChar w:fldCharType="separate"/>
      </w:r>
      <w:r w:rsidRPr="0004781D">
        <w:rPr>
          <w:noProof/>
        </w:rPr>
        <w:t>Youtue, “Kajian Ekonomi Syariah Tentang Cryptocurrency,” 2023, https:/youtu.be/ZylwsAB0BYg .</w:t>
      </w:r>
      <w:r>
        <w:fldChar w:fldCharType="end"/>
      </w:r>
    </w:p>
  </w:footnote>
  <w:footnote w:id="11">
    <w:p w14:paraId="7183659B" w14:textId="79D42F7D" w:rsidR="0004781D" w:rsidRDefault="0004781D">
      <w:pPr>
        <w:pStyle w:val="FootnoteText"/>
      </w:pPr>
      <w:r>
        <w:rPr>
          <w:rStyle w:val="FootnoteReference"/>
        </w:rPr>
        <w:footnoteRef/>
      </w:r>
      <w:r>
        <w:t xml:space="preserve"> </w:t>
      </w:r>
      <w:r>
        <w:fldChar w:fldCharType="begin" w:fldLock="1"/>
      </w:r>
      <w:r>
        <w:instrText>ADDIN CSL_CITATION {"citationItems":[{"id":"ITEM-1","itemData":{"URL":"https:/youtu.be/ZylwsAB0BYg ","author":[{"dropping-particle":"","family":"Youtue","given":"","non-dropping-particle":"","parse-names":false,"suffix":""}],"id":"ITEM-1","issued":{"date-parts":[["2023"]]},"title":"Kajian Ekonomi Syariah tentang Cryptocurrency","type":"webpage"},"uris":["http://www.mendeley.com/documents/?uuid=814db5cc-7c91-4b4a-aca1-67b7e2e9c63c"]}],"mendeley":{"formattedCitation":"Youtue.","plainTextFormattedCitation":"Youtue.","previouslyFormattedCitation":"Youtue."},"properties":{"noteIndex":11},"schema":"https://github.com/citation-style-language/schema/raw/master/csl-citation.json"}</w:instrText>
      </w:r>
      <w:r>
        <w:fldChar w:fldCharType="separate"/>
      </w:r>
      <w:r w:rsidRPr="0004781D">
        <w:rPr>
          <w:noProof/>
        </w:rPr>
        <w:t>Youtue.</w:t>
      </w:r>
      <w:r>
        <w:fldChar w:fldCharType="end"/>
      </w:r>
    </w:p>
  </w:footnote>
  <w:footnote w:id="12">
    <w:p w14:paraId="70833245" w14:textId="66D66FFC" w:rsidR="0004781D" w:rsidRDefault="0004781D">
      <w:pPr>
        <w:pStyle w:val="FootnoteText"/>
      </w:pPr>
      <w:r>
        <w:rPr>
          <w:rStyle w:val="FootnoteReference"/>
        </w:rPr>
        <w:footnoteRef/>
      </w:r>
      <w:r>
        <w:t xml:space="preserve"> </w:t>
      </w:r>
      <w:r>
        <w:fldChar w:fldCharType="begin" w:fldLock="1"/>
      </w:r>
      <w:r>
        <w:instrText>ADDIN CSL_CITATION {"citationItems":[{"id":"ITEM-1","itemData":{"container-title":"jurnal falah","id":"ITEM-1","issued":{"date-parts":[["2020"]]},"title":"Kajian Transaksi Digital dalam Fikih Muamalah","type":"article-journal"},"uris":["http://www.mendeley.com/documents/?uuid=dad83dcc-0c48-4a98-9523-e28d402a1cd5"]}],"mendeley":{"formattedCitation":"“Kajian Transaksi Digital Dalam Fikih Muamalah.”","plainTextFormattedCitation":"“Kajian Transaksi Digital Dalam Fikih Muamalah.”","previouslyFormattedCitation":"“Kajian Transaksi Digital Dalam Fikih Muamalah.”"},"properties":{"noteIndex":12},"schema":"https://github.com/citation-style-language/schema/raw/master/csl-citation.json"}</w:instrText>
      </w:r>
      <w:r>
        <w:fldChar w:fldCharType="separate"/>
      </w:r>
      <w:r w:rsidRPr="0004781D">
        <w:rPr>
          <w:noProof/>
        </w:rPr>
        <w:t>“Kajian Transaksi Digital Dalam Fikih Muamalah.”</w:t>
      </w:r>
      <w:r>
        <w:fldChar w:fldCharType="end"/>
      </w:r>
    </w:p>
  </w:footnote>
  <w:footnote w:id="13">
    <w:p w14:paraId="02FC9BA0" w14:textId="7CBB0449" w:rsidR="0004781D" w:rsidRDefault="0004781D">
      <w:pPr>
        <w:pStyle w:val="FootnoteText"/>
      </w:pPr>
      <w:r>
        <w:rPr>
          <w:rStyle w:val="FootnoteReference"/>
        </w:rPr>
        <w:footnoteRef/>
      </w:r>
      <w:r>
        <w:t xml:space="preserve"> </w:t>
      </w:r>
      <w:r>
        <w:fldChar w:fldCharType="begin" w:fldLock="1"/>
      </w:r>
      <w:r>
        <w:instrText>ADDIN CSL_CITATION {"citationItems":[{"id":"ITEM-1","itemData":{"author":[{"dropping-particle":"","family":"Universitas Ahmad Dahlan","given":"","non-dropping-particle":"","parse-names":false,"suffix":""}],"id":"ITEM-1","issued":{"date-parts":[["2020"]]},"title":"Pro Kontra Cryptocurrency dalam Fikih Muamalah","type":"report"},"uris":["http://www.mendeley.com/documents/?uuid=8215c905-8c19-4e7e-b911-f38ceb9ed11a"]}],"mendeley":{"formattedCitation":"Universitas Ahmad Dahlan, “Pro Kontra Cryptocurrency Dalam Fikih Muamalah,” 2020.","plainTextFormattedCitation":"Universitas Ahmad Dahlan, “Pro Kontra Cryptocurrency Dalam Fikih Muamalah,” 2020.","previouslyFormattedCitation":"Universitas Ahmad Dahlan, “Pro Kontra Cryptocurrency Dalam Fikih Muamalah,” 2020."},"properties":{"noteIndex":13},"schema":"https://github.com/citation-style-language/schema/raw/master/csl-citation.json"}</w:instrText>
      </w:r>
      <w:r>
        <w:fldChar w:fldCharType="separate"/>
      </w:r>
      <w:r w:rsidRPr="0004781D">
        <w:rPr>
          <w:noProof/>
        </w:rPr>
        <w:t>Universitas Ahmad Dahlan, “Pro Kontra Cryptocurrency Dalam Fikih Muamalah,” 2020.</w:t>
      </w:r>
      <w:r>
        <w:fldChar w:fldCharType="end"/>
      </w:r>
    </w:p>
  </w:footnote>
  <w:footnote w:id="14">
    <w:p w14:paraId="5EAC3B3A" w14:textId="79A4B300" w:rsidR="0004781D" w:rsidRDefault="0004781D">
      <w:pPr>
        <w:pStyle w:val="FootnoteText"/>
      </w:pPr>
      <w:r>
        <w:rPr>
          <w:rStyle w:val="FootnoteReference"/>
        </w:rPr>
        <w:footnoteRef/>
      </w:r>
      <w:r>
        <w:t xml:space="preserve"> </w:t>
      </w:r>
      <w:r>
        <w:fldChar w:fldCharType="begin" w:fldLock="1"/>
      </w:r>
      <w:r>
        <w:instrText>ADDIN CSL_CITATION {"citationItems":[{"id":"ITEM-1","itemData":{"container-title":"jurnal IAIN Ambon","id":"ITEM-1","issued":{"date-parts":[["2020"]]},"title":"Prinsip Larangan dalam Muamalah","type":"article-journal"},"uris":["http://www.mendeley.com/documents/?uuid=e147361a-3c54-4527-a5f3-3955b2c63d7a"]}],"mendeley":{"formattedCitation":"“Prinsip Larangan Dalam Muamalah,” &lt;i&gt;Jurnal IAIN Ambon&lt;/i&gt;, 2020.","plainTextFormattedCitation":"“Prinsip Larangan Dalam Muamalah,” Jurnal IAIN Ambon, 2020.","previouslyFormattedCitation":"“Prinsip Larangan Dalam Muamalah,” &lt;i&gt;Jurnal IAIN Ambon&lt;/i&gt;, 2020."},"properties":{"noteIndex":14},"schema":"https://github.com/citation-style-language/schema/raw/master/csl-citation.json"}</w:instrText>
      </w:r>
      <w:r>
        <w:fldChar w:fldCharType="separate"/>
      </w:r>
      <w:r w:rsidRPr="0004781D">
        <w:rPr>
          <w:noProof/>
        </w:rPr>
        <w:t xml:space="preserve">“Prinsip Larangan Dalam Muamalah,” </w:t>
      </w:r>
      <w:r w:rsidRPr="0004781D">
        <w:rPr>
          <w:i/>
          <w:noProof/>
        </w:rPr>
        <w:t>Jurnal IAIN Ambon</w:t>
      </w:r>
      <w:r w:rsidRPr="0004781D">
        <w:rPr>
          <w:noProof/>
        </w:rPr>
        <w:t>, 2020.</w:t>
      </w:r>
      <w:r>
        <w:fldChar w:fldCharType="end"/>
      </w:r>
    </w:p>
  </w:footnote>
  <w:footnote w:id="15">
    <w:p w14:paraId="40B7C485" w14:textId="656AA445" w:rsidR="0004781D" w:rsidRDefault="0004781D">
      <w:pPr>
        <w:pStyle w:val="FootnoteText"/>
      </w:pPr>
      <w:r>
        <w:rPr>
          <w:rStyle w:val="FootnoteReference"/>
        </w:rPr>
        <w:footnoteRef/>
      </w:r>
      <w:r>
        <w:t xml:space="preserve"> </w:t>
      </w:r>
      <w:r>
        <w:fldChar w:fldCharType="begin" w:fldLock="1"/>
      </w:r>
      <w:r w:rsidR="005A673B">
        <w:instrText>ADDIN CSL_CITATION {"citationItems":[{"id":"ITEM-1","itemData":{"container-title":"jurnal IAIN Ambon","id":"ITEM-1","issued":{"date-parts":[["2020"]]},"title":"Prinsip Larangan dalam Muamalah","type":"article-journal"},"uris":["http://www.mendeley.com/documents/?uuid=e147361a-3c54-4527-a5f3-3955b2c63d7a"]}],"mendeley":{"formattedCitation":"“Prinsip Larangan Dalam Muamalah.”","plainTextFormattedCitation":"“Prinsip Larangan Dalam Muamalah.”","previouslyFormattedCitation":"“Prinsip Larangan Dalam Muamalah.”"},"properties":{"noteIndex":15},"schema":"https://github.com/citation-style-language/schema/raw/master/csl-citation.json"}</w:instrText>
      </w:r>
      <w:r>
        <w:fldChar w:fldCharType="separate"/>
      </w:r>
      <w:r w:rsidRPr="0004781D">
        <w:rPr>
          <w:noProof/>
        </w:rPr>
        <w:t>“Prinsip Larangan Dalam Muamalah.”</w:t>
      </w:r>
      <w:r>
        <w:fldChar w:fldCharType="end"/>
      </w:r>
    </w:p>
  </w:footnote>
  <w:footnote w:id="16">
    <w:p w14:paraId="0F1B66A9" w14:textId="2C48DAA1" w:rsidR="005A673B" w:rsidRDefault="005A673B">
      <w:pPr>
        <w:pStyle w:val="FootnoteText"/>
      </w:pPr>
      <w:r>
        <w:rPr>
          <w:rStyle w:val="FootnoteReference"/>
        </w:rPr>
        <w:footnoteRef/>
      </w:r>
      <w:r>
        <w:t xml:space="preserve"> </w:t>
      </w:r>
      <w:r>
        <w:fldChar w:fldCharType="begin" w:fldLock="1"/>
      </w:r>
      <w:r>
        <w:instrText>ADDIN CSL_CITATION {"citationItems":[{"id":"ITEM-1","itemData":{"author":[{"dropping-particle":"","family":"Muhammadiyah.or.id","given":"","non-dropping-particle":"","parse-names":false,"suffix":""}],"id":"ITEM-1","issued":{"date-parts":[["2021"]]},"title":"Hukum Kripto dalam Islam","type":"webpage"},"uris":["http://www.mendeley.com/documents/?uuid=ba3c22a1-4138-4cdf-a529-ebf74e5bd6b6"]}],"mendeley":{"formattedCitation":"Muhammadiyah.or.id, “Hukum Kripto Dalam Islam,” 2021.","plainTextFormattedCitation":"Muhammadiyah.or.id, “Hukum Kripto Dalam Islam,” 2021.","previouslyFormattedCitation":"Muhammadiyah.or.id, “Hukum Kripto Dalam Islam,” 2021."},"properties":{"noteIndex":16},"schema":"https://github.com/citation-style-language/schema/raw/master/csl-citation.json"}</w:instrText>
      </w:r>
      <w:r>
        <w:fldChar w:fldCharType="separate"/>
      </w:r>
      <w:r w:rsidRPr="005A673B">
        <w:rPr>
          <w:noProof/>
        </w:rPr>
        <w:t>Muhammadiyah.or.id, “Hukum Kripto Dalam Islam,” 2021.</w:t>
      </w:r>
      <w:r>
        <w:fldChar w:fldCharType="end"/>
      </w:r>
    </w:p>
  </w:footnote>
  <w:footnote w:id="17">
    <w:p w14:paraId="1125EF5C" w14:textId="41A26DE9" w:rsidR="005A673B" w:rsidRDefault="005A673B">
      <w:pPr>
        <w:pStyle w:val="FootnoteText"/>
      </w:pPr>
      <w:r>
        <w:rPr>
          <w:rStyle w:val="FootnoteReference"/>
        </w:rPr>
        <w:footnoteRef/>
      </w:r>
      <w:r>
        <w:t xml:space="preserve"> </w:t>
      </w:r>
      <w:r>
        <w:fldChar w:fldCharType="begin" w:fldLock="1"/>
      </w:r>
      <w:r>
        <w:instrText>ADDIN CSL_CITATION {"citationItems":[{"id":"ITEM-1","itemData":{"author":[{"dropping-particle":"","family":"Universitas Ahmad Dahlan","given":"","non-dropping-particle":"","parse-names":false,"suffix":""}],"id":"ITEM-1","issued":{"date-parts":[["2020"]]},"title":"Pro kontra Cryptocurrency dalam Fiqih Muamalah","type":"report"},"uris":["http://www.mendeley.com/documents/?uuid=44cc52a3-7353-45d4-9ce5-8bbdcfa0fb02"]}],"mendeley":{"formattedCitation":"Universitas Ahmad Dahlan, “Pro Kontra Cryptocurrency Dalam Fiqih Muamalah.”","plainTextFormattedCitation":"Universitas Ahmad Dahlan, “Pro Kontra Cryptocurrency Dalam Fiqih Muamalah.”"},"properties":{"noteIndex":17},"schema":"https://github.com/citation-style-language/schema/raw/master/csl-citation.json"}</w:instrText>
      </w:r>
      <w:r>
        <w:fldChar w:fldCharType="separate"/>
      </w:r>
      <w:r w:rsidRPr="005A673B">
        <w:rPr>
          <w:noProof/>
        </w:rPr>
        <w:t>Universitas Ahmad Dahlan, “Pro Kontra Cryptocurrency Dalam Fiqih Muamalah.”</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25F"/>
    <w:multiLevelType w:val="hybridMultilevel"/>
    <w:tmpl w:val="F8546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0F8"/>
    <w:multiLevelType w:val="hybridMultilevel"/>
    <w:tmpl w:val="8328F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98D"/>
    <w:multiLevelType w:val="hybridMultilevel"/>
    <w:tmpl w:val="AC6C3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9B73C5"/>
    <w:multiLevelType w:val="hybridMultilevel"/>
    <w:tmpl w:val="42AA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E79EB"/>
    <w:multiLevelType w:val="hybridMultilevel"/>
    <w:tmpl w:val="83049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B65677"/>
    <w:multiLevelType w:val="hybridMultilevel"/>
    <w:tmpl w:val="51CC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877545">
    <w:abstractNumId w:val="1"/>
  </w:num>
  <w:num w:numId="2" w16cid:durableId="2078623966">
    <w:abstractNumId w:val="4"/>
  </w:num>
  <w:num w:numId="3" w16cid:durableId="2032686825">
    <w:abstractNumId w:val="0"/>
  </w:num>
  <w:num w:numId="4" w16cid:durableId="91826863">
    <w:abstractNumId w:val="3"/>
  </w:num>
  <w:num w:numId="5" w16cid:durableId="277757042">
    <w:abstractNumId w:val="2"/>
  </w:num>
  <w:num w:numId="6" w16cid:durableId="7954151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17"/>
    <w:rsid w:val="0004781D"/>
    <w:rsid w:val="00185E33"/>
    <w:rsid w:val="00383F66"/>
    <w:rsid w:val="005A673B"/>
    <w:rsid w:val="00602871"/>
    <w:rsid w:val="00740BE8"/>
    <w:rsid w:val="008055F1"/>
    <w:rsid w:val="009364EB"/>
    <w:rsid w:val="00C0560B"/>
    <w:rsid w:val="00D54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45301"/>
  <w15:chartTrackingRefBased/>
  <w15:docId w15:val="{ADA2C22B-0C10-43E2-9F8F-9CAF4518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417"/>
    <w:rPr>
      <w:rFonts w:eastAsiaTheme="majorEastAsia" w:cstheme="majorBidi"/>
      <w:color w:val="272727" w:themeColor="text1" w:themeTint="D8"/>
    </w:rPr>
  </w:style>
  <w:style w:type="paragraph" w:styleId="Title">
    <w:name w:val="Title"/>
    <w:basedOn w:val="Normal"/>
    <w:next w:val="Normal"/>
    <w:link w:val="TitleChar"/>
    <w:uiPriority w:val="10"/>
    <w:qFormat/>
    <w:rsid w:val="00D5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417"/>
    <w:pPr>
      <w:spacing w:before="160"/>
      <w:jc w:val="center"/>
    </w:pPr>
    <w:rPr>
      <w:i/>
      <w:iCs/>
      <w:color w:val="404040" w:themeColor="text1" w:themeTint="BF"/>
    </w:rPr>
  </w:style>
  <w:style w:type="character" w:customStyle="1" w:styleId="QuoteChar">
    <w:name w:val="Quote Char"/>
    <w:basedOn w:val="DefaultParagraphFont"/>
    <w:link w:val="Quote"/>
    <w:uiPriority w:val="29"/>
    <w:rsid w:val="00D54417"/>
    <w:rPr>
      <w:i/>
      <w:iCs/>
      <w:color w:val="404040" w:themeColor="text1" w:themeTint="BF"/>
    </w:rPr>
  </w:style>
  <w:style w:type="paragraph" w:styleId="ListParagraph">
    <w:name w:val="List Paragraph"/>
    <w:basedOn w:val="Normal"/>
    <w:uiPriority w:val="34"/>
    <w:qFormat/>
    <w:rsid w:val="00D54417"/>
    <w:pPr>
      <w:ind w:left="720"/>
      <w:contextualSpacing/>
    </w:pPr>
  </w:style>
  <w:style w:type="character" w:styleId="IntenseEmphasis">
    <w:name w:val="Intense Emphasis"/>
    <w:basedOn w:val="DefaultParagraphFont"/>
    <w:uiPriority w:val="21"/>
    <w:qFormat/>
    <w:rsid w:val="00D54417"/>
    <w:rPr>
      <w:i/>
      <w:iCs/>
      <w:color w:val="2F5496" w:themeColor="accent1" w:themeShade="BF"/>
    </w:rPr>
  </w:style>
  <w:style w:type="paragraph" w:styleId="IntenseQuote">
    <w:name w:val="Intense Quote"/>
    <w:basedOn w:val="Normal"/>
    <w:next w:val="Normal"/>
    <w:link w:val="IntenseQuoteChar"/>
    <w:uiPriority w:val="30"/>
    <w:qFormat/>
    <w:rsid w:val="00D54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417"/>
    <w:rPr>
      <w:i/>
      <w:iCs/>
      <w:color w:val="2F5496" w:themeColor="accent1" w:themeShade="BF"/>
    </w:rPr>
  </w:style>
  <w:style w:type="character" w:styleId="IntenseReference">
    <w:name w:val="Intense Reference"/>
    <w:basedOn w:val="DefaultParagraphFont"/>
    <w:uiPriority w:val="32"/>
    <w:qFormat/>
    <w:rsid w:val="00D54417"/>
    <w:rPr>
      <w:b/>
      <w:bCs/>
      <w:smallCaps/>
      <w:color w:val="2F5496" w:themeColor="accent1" w:themeShade="BF"/>
      <w:spacing w:val="5"/>
    </w:rPr>
  </w:style>
  <w:style w:type="paragraph" w:styleId="FootnoteText">
    <w:name w:val="footnote text"/>
    <w:basedOn w:val="Normal"/>
    <w:link w:val="FootnoteTextChar"/>
    <w:uiPriority w:val="99"/>
    <w:semiHidden/>
    <w:unhideWhenUsed/>
    <w:rsid w:val="00740B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0BE8"/>
    <w:rPr>
      <w:sz w:val="20"/>
      <w:szCs w:val="20"/>
    </w:rPr>
  </w:style>
  <w:style w:type="character" w:styleId="FootnoteReference">
    <w:name w:val="footnote reference"/>
    <w:basedOn w:val="DefaultParagraphFont"/>
    <w:uiPriority w:val="99"/>
    <w:semiHidden/>
    <w:unhideWhenUsed/>
    <w:rsid w:val="00740B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DFDE4-5429-4BBF-834B-251316D75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ynoviana443@gmail.com</dc:creator>
  <cp:keywords/>
  <dc:description/>
  <cp:lastModifiedBy>ynoviana443@gmail.com</cp:lastModifiedBy>
  <cp:revision>2</cp:revision>
  <dcterms:created xsi:type="dcterms:W3CDTF">2026-04-22T03:57:00Z</dcterms:created>
  <dcterms:modified xsi:type="dcterms:W3CDTF">2026-04-22T05:05:00Z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http://www.zotero.org/styles/chicago-fullnote-bibliography</vt:lpwstr>
  </property>
  <property fmtid="{D5CDD505-2E9C-101B-9397-08002B2CF9AE}" pid="4" name="Mendeley Unique User Id_1">
    <vt:lpwstr>dc25a900-6203-3e90-bd24-019ef2a7c018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