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C056C" w14:textId="7C577794" w:rsidR="00EB1AFD" w:rsidRDefault="004E6BD2" w:rsidP="00CF17B4">
      <w:pPr>
        <w:jc w:val="both"/>
      </w:pPr>
      <w:r>
        <w:t xml:space="preserve">Jawaban tugas masailul fiqhiyah </w:t>
      </w:r>
    </w:p>
    <w:p w14:paraId="6635616F" w14:textId="7025781C" w:rsidR="00A46966" w:rsidRDefault="00A46966" w:rsidP="00CF17B4">
      <w:pPr>
        <w:jc w:val="both"/>
      </w:pPr>
      <w:r>
        <w:t>Nama : Widiya Arini R</w:t>
      </w:r>
    </w:p>
    <w:p w14:paraId="6D58A9F8" w14:textId="77777777" w:rsidR="00EB1AFD" w:rsidRDefault="00EB1AFD" w:rsidP="00CF17B4">
      <w:pPr>
        <w:jc w:val="both"/>
      </w:pPr>
      <w:r>
        <w:t>1. Masalah: Hukum memakai E-Wallet</w:t>
      </w:r>
    </w:p>
    <w:p w14:paraId="7D7D6F99" w14:textId="77777777" w:rsidR="00EB1AFD" w:rsidRDefault="00EB1AFD" w:rsidP="00CF17B4">
      <w:pPr>
        <w:jc w:val="both"/>
      </w:pPr>
      <w:r>
        <w:t>E-Wallet (dompet digital) adalah alat pembayaran elektronik seperti OVO, DANA, GoPay, dll. Masalahnya adalah apakah penggunaannya sesuai dengan hukum Islam atau tidak.</w:t>
      </w:r>
    </w:p>
    <w:p w14:paraId="502F3EFC" w14:textId="77777777" w:rsidR="00EB1AFD" w:rsidRDefault="00EB1AFD" w:rsidP="00CF17B4">
      <w:pPr>
        <w:jc w:val="both"/>
      </w:pPr>
      <w:r>
        <w:t>2. Pendapat pertama (membolehkan)</w:t>
      </w:r>
    </w:p>
    <w:p w14:paraId="3F9033DF" w14:textId="77777777" w:rsidR="00EB1AFD" w:rsidRDefault="00EB1AFD" w:rsidP="00CF17B4">
      <w:pPr>
        <w:jc w:val="both"/>
      </w:pPr>
      <w:r>
        <w:t>Sebagian ulama berpendapat bahwa menggunakan e-wallet itu boleh, karena hanya sebagai alat pembayaran modern yang memudahkan transaksi, seperti uang tunai atau kartu ATM.</w:t>
      </w:r>
    </w:p>
    <w:p w14:paraId="1A22C230" w14:textId="77777777" w:rsidR="00EB1AFD" w:rsidRDefault="00EB1AFD" w:rsidP="00CF17B4">
      <w:pPr>
        <w:jc w:val="both"/>
      </w:pPr>
      <w:r>
        <w:t>3. Pendapat kedua (melarang/bersyarat ketat)</w:t>
      </w:r>
    </w:p>
    <w:p w14:paraId="42806C8D" w14:textId="77777777" w:rsidR="00EB1AFD" w:rsidRDefault="00EB1AFD" w:rsidP="00CF17B4">
      <w:pPr>
        <w:jc w:val="both"/>
      </w:pPr>
      <w:r>
        <w:t>Sebagian ulama lain berpendapat tidak boleh atau harus sangat hati-hati, terutama jika ada unsur riba, gharar (ketidakjelasan), atau potongan yang tidak sesuai syariat.</w:t>
      </w:r>
    </w:p>
    <w:p w14:paraId="53D13124" w14:textId="77777777" w:rsidR="00EB1AFD" w:rsidRDefault="00EB1AFD" w:rsidP="00CF17B4">
      <w:pPr>
        <w:jc w:val="both"/>
      </w:pPr>
      <w:r>
        <w:t>4. Dalil pendapat pertama</w:t>
      </w:r>
    </w:p>
    <w:p w14:paraId="1B571CB4" w14:textId="77777777" w:rsidR="00EB1AFD" w:rsidRDefault="00EB1AFD" w:rsidP="00CF17B4">
      <w:pPr>
        <w:jc w:val="both"/>
      </w:pPr>
      <w:r>
        <w:t>QS. Al-Baqarah: 275 → Allah menghalalkan jual beli</w:t>
      </w:r>
    </w:p>
    <w:p w14:paraId="77F4EB12" w14:textId="3924577A" w:rsidR="00EB1AFD" w:rsidRDefault="00EB1AFD" w:rsidP="00CF17B4">
      <w:pPr>
        <w:jc w:val="both"/>
      </w:pPr>
      <w:r>
        <w:t>Kaidah fiqh: *“Hukum asal muamalah adalah boleh”</w:t>
      </w:r>
      <w:r w:rsidR="00AA0D39">
        <w:rPr>
          <w:rStyle w:val="ReferensiCatatanKaki"/>
        </w:rPr>
        <w:footnoteReference w:id="1"/>
      </w:r>
    </w:p>
    <w:p w14:paraId="09EB0EE6" w14:textId="77777777" w:rsidR="00EB1AFD" w:rsidRDefault="00EB1AFD" w:rsidP="00CF17B4">
      <w:pPr>
        <w:jc w:val="both"/>
      </w:pPr>
      <w:r>
        <w:t>5. Dalil pendapat kedua</w:t>
      </w:r>
    </w:p>
    <w:p w14:paraId="19A73CB0" w14:textId="77777777" w:rsidR="00EB1AFD" w:rsidRDefault="00EB1AFD" w:rsidP="00CF17B4">
      <w:pPr>
        <w:jc w:val="both"/>
      </w:pPr>
      <w:r>
        <w:t>QS. Al-Baqarah: 275 → larangan riba</w:t>
      </w:r>
    </w:p>
    <w:p w14:paraId="3FCFE914" w14:textId="5BFB31B8" w:rsidR="00EB1AFD" w:rsidRDefault="00EB1AFD" w:rsidP="00CF17B4">
      <w:pPr>
        <w:jc w:val="both"/>
      </w:pPr>
      <w:r>
        <w:t>Hadis: Larangan transaksi yang mengandung gharar</w:t>
      </w:r>
      <w:r w:rsidR="000E0C29">
        <w:rPr>
          <w:rStyle w:val="ReferensiCatatanKaki"/>
        </w:rPr>
        <w:footnoteReference w:id="2"/>
      </w:r>
    </w:p>
    <w:p w14:paraId="262D8680" w14:textId="77777777" w:rsidR="00EB1AFD" w:rsidRDefault="00EB1AFD" w:rsidP="00CF17B4">
      <w:pPr>
        <w:jc w:val="both"/>
      </w:pPr>
      <w:r>
        <w:t>6. Metode pendapat pertama</w:t>
      </w:r>
    </w:p>
    <w:p w14:paraId="3B8D94FF" w14:textId="77777777" w:rsidR="00EB1AFD" w:rsidRDefault="00EB1AFD" w:rsidP="00CF17B4">
      <w:pPr>
        <w:jc w:val="both"/>
      </w:pPr>
      <w:r>
        <w:t>Menggunakan metode qiyas (analogi) dan kaidah umum muamalah → e-wallet dianalogikan seperti alat pembayaran biasa.</w:t>
      </w:r>
    </w:p>
    <w:p w14:paraId="4199D2D4" w14:textId="77777777" w:rsidR="00EB1AFD" w:rsidRDefault="00EB1AFD" w:rsidP="00CF17B4">
      <w:pPr>
        <w:jc w:val="both"/>
      </w:pPr>
      <w:r>
        <w:t>7. Metode pendapat kedua</w:t>
      </w:r>
    </w:p>
    <w:p w14:paraId="4539E0D6" w14:textId="77777777" w:rsidR="00EB1AFD" w:rsidRDefault="00EB1AFD" w:rsidP="00CF17B4">
      <w:pPr>
        <w:jc w:val="both"/>
      </w:pPr>
      <w:r>
        <w:t>Menggunakan metode sadd az-zari’ah (menutup jalan menuju yang haram) → mencegah potensi riba atau penipuan.</w:t>
      </w:r>
    </w:p>
    <w:p w14:paraId="58735911" w14:textId="77777777" w:rsidR="00EB1AFD" w:rsidRDefault="00EB1AFD" w:rsidP="00CF17B4">
      <w:pPr>
        <w:jc w:val="both"/>
      </w:pPr>
      <w:r>
        <w:t>8. Mengapa ulama pertama memperbolehkan?</w:t>
      </w:r>
    </w:p>
    <w:p w14:paraId="5C2CCD85" w14:textId="77777777" w:rsidR="00EB1AFD" w:rsidRDefault="00EB1AFD" w:rsidP="00CF17B4">
      <w:pPr>
        <w:jc w:val="both"/>
      </w:pPr>
      <w:r>
        <w:t>Karena:</w:t>
      </w:r>
    </w:p>
    <w:p w14:paraId="3DD55A2F" w14:textId="77777777" w:rsidR="00EB1AFD" w:rsidRDefault="00EB1AFD" w:rsidP="00CF17B4">
      <w:pPr>
        <w:jc w:val="both"/>
      </w:pPr>
      <w:r>
        <w:t>Hanya alat, bukan akad yang haram</w:t>
      </w:r>
    </w:p>
    <w:p w14:paraId="3CF18202" w14:textId="77777777" w:rsidR="00EB1AFD" w:rsidRDefault="00EB1AFD" w:rsidP="00CF17B4">
      <w:pPr>
        <w:jc w:val="both"/>
      </w:pPr>
      <w:r>
        <w:t>Memudahkan transaksi</w:t>
      </w:r>
    </w:p>
    <w:p w14:paraId="181564C4" w14:textId="77777777" w:rsidR="00EB1AFD" w:rsidRDefault="00EB1AFD" w:rsidP="00CF17B4">
      <w:pPr>
        <w:jc w:val="both"/>
      </w:pPr>
      <w:r>
        <w:t>Tidak ada larangan langsung dalam Al-Qur’an</w:t>
      </w:r>
    </w:p>
    <w:p w14:paraId="07C7651C" w14:textId="77777777" w:rsidR="00EB1AFD" w:rsidRDefault="00EB1AFD" w:rsidP="00CF17B4">
      <w:pPr>
        <w:jc w:val="both"/>
      </w:pPr>
      <w:r>
        <w:t>9. Mengapa ulama kedua melarang?</w:t>
      </w:r>
    </w:p>
    <w:p w14:paraId="077E959A" w14:textId="77777777" w:rsidR="00EB1AFD" w:rsidRDefault="00EB1AFD" w:rsidP="00CF17B4">
      <w:pPr>
        <w:jc w:val="both"/>
      </w:pPr>
      <w:r>
        <w:t>Karena:</w:t>
      </w:r>
    </w:p>
    <w:p w14:paraId="1E3DF1CA" w14:textId="77777777" w:rsidR="00EB1AFD" w:rsidRDefault="00EB1AFD" w:rsidP="00CF17B4">
      <w:pPr>
        <w:jc w:val="both"/>
      </w:pPr>
      <w:r>
        <w:t>Ada potensi riba (cashback, bunga saldo)</w:t>
      </w:r>
    </w:p>
    <w:p w14:paraId="497198BD" w14:textId="77777777" w:rsidR="00EB1AFD" w:rsidRDefault="00EB1AFD" w:rsidP="00CF17B4">
      <w:pPr>
        <w:jc w:val="both"/>
      </w:pPr>
      <w:r>
        <w:t>Bisa mengandung gharar</w:t>
      </w:r>
    </w:p>
    <w:p w14:paraId="25FD7A01" w14:textId="77777777" w:rsidR="00EB1AFD" w:rsidRDefault="00EB1AFD" w:rsidP="00CF17B4">
      <w:pPr>
        <w:jc w:val="both"/>
      </w:pPr>
      <w:r>
        <w:t>Sistemnya tidak selalu transparan</w:t>
      </w:r>
    </w:p>
    <w:p w14:paraId="083E4F0F" w14:textId="77777777" w:rsidR="00EB1AFD" w:rsidRDefault="00EB1AFD" w:rsidP="00CF17B4">
      <w:pPr>
        <w:jc w:val="both"/>
      </w:pPr>
      <w:r>
        <w:t>10. Kelemahan pendapat pertama</w:t>
      </w:r>
    </w:p>
    <w:p w14:paraId="596BABFE" w14:textId="77777777" w:rsidR="00EB1AFD" w:rsidRDefault="00EB1AFD" w:rsidP="00CF17B4">
      <w:pPr>
        <w:jc w:val="both"/>
      </w:pPr>
      <w:r>
        <w:t>Kurang memperhatikan potensi praktik yang bisa mengandung riba atau ketidakjelasan.</w:t>
      </w:r>
    </w:p>
    <w:p w14:paraId="12B21C4C" w14:textId="77777777" w:rsidR="00EB1AFD" w:rsidRDefault="00EB1AFD" w:rsidP="00CF17B4">
      <w:pPr>
        <w:jc w:val="both"/>
      </w:pPr>
      <w:r>
        <w:t>11. Kelemahan pendapat kedua</w:t>
      </w:r>
    </w:p>
    <w:p w14:paraId="55F44E19" w14:textId="77777777" w:rsidR="00EB1AFD" w:rsidRDefault="00EB1AFD" w:rsidP="00CF17B4">
      <w:pPr>
        <w:jc w:val="both"/>
      </w:pPr>
      <w:r>
        <w:t>Terlalu berhati-hati sehingga bisa menyulitkan umat dalam hal teknologi dan kebutuhan modern.</w:t>
      </w:r>
    </w:p>
    <w:p w14:paraId="186501A8" w14:textId="77777777" w:rsidR="00EB1AFD" w:rsidRDefault="00EB1AFD" w:rsidP="00CF17B4">
      <w:pPr>
        <w:jc w:val="both"/>
      </w:pPr>
      <w:r>
        <w:t>12. Kekuatan pendapat pertama</w:t>
      </w:r>
    </w:p>
    <w:p w14:paraId="75FD4512" w14:textId="77777777" w:rsidR="00EB1AFD" w:rsidRDefault="00EB1AFD" w:rsidP="00CF17B4">
      <w:pPr>
        <w:jc w:val="both"/>
      </w:pPr>
      <w:r>
        <w:t>Fleksibel dengan perkembangan zaman</w:t>
      </w:r>
    </w:p>
    <w:p w14:paraId="104FC8D7" w14:textId="77777777" w:rsidR="00EB1AFD" w:rsidRDefault="00EB1AFD" w:rsidP="00CF17B4">
      <w:pPr>
        <w:jc w:val="both"/>
      </w:pPr>
      <w:r>
        <w:t>Sesuai kaidah dasar muamalah (boleh)</w:t>
      </w:r>
    </w:p>
    <w:p w14:paraId="5FD898F9" w14:textId="77777777" w:rsidR="00EB1AFD" w:rsidRDefault="00EB1AFD" w:rsidP="00CF17B4">
      <w:pPr>
        <w:jc w:val="both"/>
      </w:pPr>
      <w:r>
        <w:t>13. Kekuatan pendapat kedua</w:t>
      </w:r>
    </w:p>
    <w:p w14:paraId="1371837E" w14:textId="77777777" w:rsidR="00EB1AFD" w:rsidRDefault="00EB1AFD" w:rsidP="00CF17B4">
      <w:pPr>
        <w:jc w:val="both"/>
      </w:pPr>
      <w:r>
        <w:t>Lebih menjaga kehati-hatian</w:t>
      </w:r>
    </w:p>
    <w:p w14:paraId="04CE35FE" w14:textId="77777777" w:rsidR="00EB1AFD" w:rsidRDefault="00EB1AFD" w:rsidP="00CF17B4">
      <w:pPr>
        <w:jc w:val="both"/>
      </w:pPr>
      <w:r>
        <w:t>Menghindari hal yang meragukan (syubhat)</w:t>
      </w:r>
    </w:p>
    <w:p w14:paraId="75FA141B" w14:textId="77777777" w:rsidR="00EB1AFD" w:rsidRDefault="00EB1AFD" w:rsidP="00CF17B4">
      <w:pPr>
        <w:jc w:val="both"/>
      </w:pPr>
      <w:r>
        <w:t>14. Persamaan kedua pendapat</w:t>
      </w:r>
    </w:p>
    <w:p w14:paraId="15E250EA" w14:textId="77777777" w:rsidR="00EB1AFD" w:rsidRDefault="00EB1AFD" w:rsidP="00CF17B4">
      <w:pPr>
        <w:jc w:val="both"/>
      </w:pPr>
      <w:r>
        <w:t>Sama-sama ingin menjaga transaksi sesuai syariat</w:t>
      </w:r>
    </w:p>
    <w:p w14:paraId="2646D349" w14:textId="77777777" w:rsidR="00EB1AFD" w:rsidRDefault="00EB1AFD" w:rsidP="00CF17B4">
      <w:pPr>
        <w:jc w:val="both"/>
      </w:pPr>
      <w:r>
        <w:t>Sama-sama berlandaskan Al-Qur’an dan Hadis</w:t>
      </w:r>
    </w:p>
    <w:p w14:paraId="06246CCB" w14:textId="77777777" w:rsidR="00EB1AFD" w:rsidRDefault="00EB1AFD" w:rsidP="00CF17B4">
      <w:pPr>
        <w:jc w:val="both"/>
      </w:pPr>
      <w:r>
        <w:t>15. Ulama yang memperbolehkan</w:t>
      </w:r>
    </w:p>
    <w:p w14:paraId="3E6E4FFC" w14:textId="1A0D3242" w:rsidR="00EB1AFD" w:rsidRDefault="00EB1AFD" w:rsidP="00CF17B4">
      <w:pPr>
        <w:jc w:val="both"/>
      </w:pPr>
      <w:r>
        <w:t>Ulama kontemporer dari lembaga seperti DSN-MUI</w:t>
      </w:r>
      <w:r w:rsidR="00E762E9">
        <w:rPr>
          <w:rStyle w:val="ReferensiCatatanKaki"/>
        </w:rPr>
        <w:footnoteReference w:id="3"/>
      </w:r>
    </w:p>
    <w:p w14:paraId="28FF3EC8" w14:textId="77777777" w:rsidR="00EB1AFD" w:rsidRDefault="00EB1AFD" w:rsidP="00CF17B4">
      <w:pPr>
        <w:jc w:val="both"/>
      </w:pPr>
      <w:r>
        <w:t>Yusuf Al-Qaradawi</w:t>
      </w:r>
    </w:p>
    <w:p w14:paraId="63183607" w14:textId="77777777" w:rsidR="00EB1AFD" w:rsidRDefault="00EB1AFD" w:rsidP="00CF17B4">
      <w:pPr>
        <w:jc w:val="both"/>
      </w:pPr>
      <w:r>
        <w:t>16. Ulama yang melarang/ketat</w:t>
      </w:r>
    </w:p>
    <w:p w14:paraId="32DD8D4D" w14:textId="77777777" w:rsidR="00EB1AFD" w:rsidRDefault="00EB1AFD" w:rsidP="00CF17B4">
      <w:pPr>
        <w:jc w:val="both"/>
      </w:pPr>
      <w:r>
        <w:t>Sebagian ulama salafi</w:t>
      </w:r>
    </w:p>
    <w:p w14:paraId="788285E1" w14:textId="77777777" w:rsidR="00EB1AFD" w:rsidRDefault="00EB1AFD" w:rsidP="00CF17B4">
      <w:pPr>
        <w:jc w:val="both"/>
      </w:pPr>
      <w:r>
        <w:t>Ulama yang sangat berhati-hati terhadap riba dan gharar</w:t>
      </w:r>
    </w:p>
    <w:p w14:paraId="425710CF" w14:textId="77777777" w:rsidR="00EB1AFD" w:rsidRDefault="00EB1AFD" w:rsidP="00CF17B4">
      <w:pPr>
        <w:jc w:val="both"/>
      </w:pPr>
      <w:r>
        <w:t>17. Analisis pendapat pribadi</w:t>
      </w:r>
    </w:p>
    <w:p w14:paraId="212CA9A5" w14:textId="77777777" w:rsidR="00EB1AFD" w:rsidRDefault="00EB1AFD" w:rsidP="00CF17B4">
      <w:pPr>
        <w:jc w:val="both"/>
      </w:pPr>
      <w:r>
        <w:t>Menurut saya, penggunaan e-wallet boleh selama memenuhi syarat, seperti:</w:t>
      </w:r>
    </w:p>
    <w:p w14:paraId="4974ED9E" w14:textId="77777777" w:rsidR="00EB1AFD" w:rsidRDefault="00EB1AFD" w:rsidP="00CF17B4">
      <w:pPr>
        <w:jc w:val="both"/>
      </w:pPr>
      <w:r>
        <w:t>Tidak ada riba</w:t>
      </w:r>
    </w:p>
    <w:p w14:paraId="25CC9599" w14:textId="77777777" w:rsidR="00EB1AFD" w:rsidRDefault="00EB1AFD" w:rsidP="00CF17B4">
      <w:pPr>
        <w:jc w:val="both"/>
      </w:pPr>
      <w:r>
        <w:t>Tidak ada unsur penipuan</w:t>
      </w:r>
    </w:p>
    <w:p w14:paraId="3493E833" w14:textId="77777777" w:rsidR="00EB1AFD" w:rsidRDefault="00EB1AFD" w:rsidP="00CF17B4">
      <w:pPr>
        <w:jc w:val="both"/>
      </w:pPr>
      <w:r>
        <w:t>Transaksi jelas dan transparan</w:t>
      </w:r>
    </w:p>
    <w:p w14:paraId="293FA94C" w14:textId="77777777" w:rsidR="00EB1AFD" w:rsidRDefault="00EB1AFD" w:rsidP="00CF17B4">
      <w:pPr>
        <w:jc w:val="both"/>
      </w:pPr>
      <w:r>
        <w:t>Karena e-wallet hanya alat, maka hukumnya mengikuti cara penggunaannya. Jika digunakan dengan benar, maka halal. Tetapi jika ada unsur haram, maka menjadi tidak boleh.</w:t>
      </w:r>
    </w:p>
    <w:p w14:paraId="7A57AD92" w14:textId="489FFD81" w:rsidR="00EB1AFD" w:rsidRDefault="00EB1AFD" w:rsidP="00CF17B4">
      <w:pPr>
        <w:jc w:val="both"/>
      </w:pPr>
    </w:p>
    <w:sectPr w:rsidR="00EB1A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7249C" w14:textId="77777777" w:rsidR="008F3E62" w:rsidRDefault="008F3E62" w:rsidP="008F3E62">
      <w:pPr>
        <w:spacing w:after="0" w:line="240" w:lineRule="auto"/>
      </w:pPr>
      <w:r>
        <w:separator/>
      </w:r>
    </w:p>
  </w:endnote>
  <w:endnote w:type="continuationSeparator" w:id="0">
    <w:p w14:paraId="2E9B9CC3" w14:textId="77777777" w:rsidR="008F3E62" w:rsidRDefault="008F3E62" w:rsidP="008F3E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C4CAC" w14:textId="77777777" w:rsidR="008F3E62" w:rsidRDefault="008F3E62" w:rsidP="008F3E62">
      <w:pPr>
        <w:spacing w:after="0" w:line="240" w:lineRule="auto"/>
      </w:pPr>
      <w:r>
        <w:separator/>
      </w:r>
    </w:p>
  </w:footnote>
  <w:footnote w:type="continuationSeparator" w:id="0">
    <w:p w14:paraId="48CB1732" w14:textId="77777777" w:rsidR="008F3E62" w:rsidRDefault="008F3E62" w:rsidP="008F3E62">
      <w:pPr>
        <w:spacing w:after="0" w:line="240" w:lineRule="auto"/>
      </w:pPr>
      <w:r>
        <w:continuationSeparator/>
      </w:r>
    </w:p>
  </w:footnote>
  <w:footnote w:id="1">
    <w:p w14:paraId="423CC5DA" w14:textId="39617E28" w:rsidR="00AA0D39" w:rsidRDefault="00AA0D39">
      <w:pPr>
        <w:pStyle w:val="TeksCatatanKaki"/>
      </w:pPr>
      <w:r>
        <w:rPr>
          <w:rStyle w:val="ReferensiCatatanKaki"/>
        </w:rPr>
        <w:footnoteRef/>
      </w:r>
      <w:r>
        <w:t xml:space="preserve"> </w:t>
      </w:r>
      <w:r w:rsidR="00E51A31">
        <w:t>Wahbah Az-Zuhaili, Al-Fiqh Al-Islami wa Adillatuhu, (Damaskus: Dar Al-Fikr), hlm. 286.</w:t>
      </w:r>
    </w:p>
  </w:footnote>
  <w:footnote w:id="2">
    <w:p w14:paraId="4EAF4658" w14:textId="28D27316" w:rsidR="000E0C29" w:rsidRDefault="000E0C29">
      <w:pPr>
        <w:pStyle w:val="TeksCatatanKaki"/>
      </w:pPr>
      <w:r>
        <w:rPr>
          <w:rStyle w:val="ReferensiCatatanKaki"/>
        </w:rPr>
        <w:footnoteRef/>
      </w:r>
      <w:r>
        <w:t xml:space="preserve"> </w:t>
      </w:r>
      <w:r w:rsidR="006E5B61">
        <w:t>HR. Muslim tentang larangan jual beli gharar.</w:t>
      </w:r>
    </w:p>
  </w:footnote>
  <w:footnote w:id="3">
    <w:p w14:paraId="074DC880" w14:textId="4C4B838D" w:rsidR="00E762E9" w:rsidRDefault="00E762E9">
      <w:pPr>
        <w:pStyle w:val="TeksCatatanKaki"/>
      </w:pPr>
      <w:r>
        <w:rPr>
          <w:rStyle w:val="ReferensiCatatanKaki"/>
        </w:rPr>
        <w:footnoteRef/>
      </w:r>
      <w:r>
        <w:t xml:space="preserve"> </w:t>
      </w:r>
      <w:r w:rsidR="00EB5FD2">
        <w:t>Fatwa DSN-MUI No. 116/DSN-MUI/IX/2017 tentang uang elektronik.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AFD"/>
    <w:rsid w:val="000E0C29"/>
    <w:rsid w:val="004E6BD2"/>
    <w:rsid w:val="00517797"/>
    <w:rsid w:val="005C17BC"/>
    <w:rsid w:val="006A383B"/>
    <w:rsid w:val="006E5B61"/>
    <w:rsid w:val="008F3E62"/>
    <w:rsid w:val="00A46966"/>
    <w:rsid w:val="00AA0D39"/>
    <w:rsid w:val="00CF17B4"/>
    <w:rsid w:val="00E51A31"/>
    <w:rsid w:val="00E762E9"/>
    <w:rsid w:val="00EB1AFD"/>
    <w:rsid w:val="00EB5FD2"/>
    <w:rsid w:val="00F477E0"/>
    <w:rsid w:val="00FC7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82C6FBE"/>
  <w15:chartTrackingRefBased/>
  <w15:docId w15:val="{69F736F2-70CC-D147-AF10-BFCB291EC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EB1A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EB1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EB1A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EB1A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EB1A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EB1A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EB1A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EB1A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EB1A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EB1A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EB1A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EB1A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EB1AFD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EB1AFD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EB1AFD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EB1AFD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EB1AFD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EB1AFD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EB1A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EB1A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EB1A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EB1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EB1A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EB1AFD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EB1AFD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EB1AFD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EB1A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EB1AFD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EB1AFD"/>
    <w:rPr>
      <w:b/>
      <w:bCs/>
      <w:smallCaps/>
      <w:color w:val="0F4761" w:themeColor="accent1" w:themeShade="BF"/>
      <w:spacing w:val="5"/>
    </w:rPr>
  </w:style>
  <w:style w:type="paragraph" w:styleId="TeksCatatanKaki">
    <w:name w:val="footnote text"/>
    <w:basedOn w:val="Normal"/>
    <w:link w:val="TeksCatatanKakiKAR"/>
    <w:uiPriority w:val="99"/>
    <w:semiHidden/>
    <w:unhideWhenUsed/>
    <w:rsid w:val="008F3E62"/>
    <w:pPr>
      <w:spacing w:after="0" w:line="240" w:lineRule="auto"/>
    </w:pPr>
    <w:rPr>
      <w:sz w:val="20"/>
      <w:szCs w:val="20"/>
    </w:rPr>
  </w:style>
  <w:style w:type="character" w:customStyle="1" w:styleId="TeksCatatanKakiKAR">
    <w:name w:val="Teks Catatan Kaki KAR"/>
    <w:basedOn w:val="FontParagrafDefault"/>
    <w:link w:val="TeksCatatanKaki"/>
    <w:uiPriority w:val="99"/>
    <w:semiHidden/>
    <w:rsid w:val="008F3E62"/>
    <w:rPr>
      <w:sz w:val="20"/>
      <w:szCs w:val="20"/>
    </w:rPr>
  </w:style>
  <w:style w:type="character" w:styleId="ReferensiCatatanKaki">
    <w:name w:val="footnote reference"/>
    <w:basedOn w:val="FontParagrafDefault"/>
    <w:uiPriority w:val="99"/>
    <w:semiHidden/>
    <w:unhideWhenUsed/>
    <w:rsid w:val="008F3E6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endnotes" Target="endnotes.xml" /><Relationship Id="rId4" Type="http://schemas.openxmlformats.org/officeDocument/2006/relationships/footnotes" Target="footnotes.xml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385</Words>
  <Characters>2197</Characters>
  <Application>Microsoft Office Word</Application>
  <DocSecurity>0</DocSecurity>
  <Lines>18</Lines>
  <Paragraphs>5</Paragraphs>
  <ScaleCrop>false</ScaleCrop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Pengguna Tamu</dc:creator>
  <cp:keywords/>
  <dc:description/>
  <cp:lastModifiedBy>Pengguna Tamu</cp:lastModifiedBy>
  <cp:revision>2</cp:revision>
  <dcterms:created xsi:type="dcterms:W3CDTF">2026-04-22T12:51:00Z</dcterms:created>
  <dcterms:modified xsi:type="dcterms:W3CDTF">2026-04-22T12:51:00Z</dcterms:modified>
</cp:coreProperties>
</file>