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6366" w14:textId="73DD64FB" w:rsidR="00043AD8" w:rsidRPr="00043AD8" w:rsidRDefault="00043AD8">
      <w:pPr>
        <w:rPr>
          <w:b/>
          <w:bCs/>
          <w:lang w:val="en-GB"/>
        </w:rPr>
      </w:pPr>
      <w:r w:rsidRPr="00043AD8">
        <w:rPr>
          <w:b/>
          <w:bCs/>
          <w:lang w:val="en-GB"/>
        </w:rPr>
        <w:t>Nama</w:t>
      </w:r>
      <w:r>
        <w:rPr>
          <w:b/>
          <w:bCs/>
          <w:lang w:val="en-GB"/>
        </w:rPr>
        <w:tab/>
      </w:r>
      <w:r w:rsidRPr="00043AD8">
        <w:rPr>
          <w:b/>
          <w:bCs/>
          <w:lang w:val="en-GB"/>
        </w:rPr>
        <w:t xml:space="preserve">: </w:t>
      </w:r>
      <w:r w:rsidR="00D43CAE">
        <w:rPr>
          <w:b/>
          <w:bCs/>
          <w:lang w:val="en-GB"/>
        </w:rPr>
        <w:t>Putri Isnaini (23051118)</w:t>
      </w:r>
    </w:p>
    <w:p w14:paraId="269F024B" w14:textId="77777777" w:rsidR="00043AD8" w:rsidRDefault="00043AD8">
      <w:pPr>
        <w:rPr>
          <w:b/>
          <w:bCs/>
          <w:lang w:val="en-GB"/>
        </w:rPr>
      </w:pPr>
      <w:r w:rsidRPr="00043AD8">
        <w:rPr>
          <w:b/>
          <w:bCs/>
          <w:lang w:val="en-GB"/>
        </w:rPr>
        <w:t>Kelas</w:t>
      </w:r>
      <w:r>
        <w:rPr>
          <w:b/>
          <w:bCs/>
          <w:lang w:val="en-GB"/>
        </w:rPr>
        <w:tab/>
      </w:r>
      <w:r w:rsidRPr="00043AD8">
        <w:rPr>
          <w:b/>
          <w:bCs/>
          <w:lang w:val="en-GB"/>
        </w:rPr>
        <w:t>:</w:t>
      </w:r>
      <w:r w:rsidR="00C72BD4">
        <w:rPr>
          <w:b/>
          <w:bCs/>
          <w:lang w:val="en-GB"/>
        </w:rPr>
        <w:t xml:space="preserve"> </w:t>
      </w:r>
      <w:r w:rsidRPr="00043AD8">
        <w:rPr>
          <w:b/>
          <w:bCs/>
          <w:lang w:val="en-GB"/>
        </w:rPr>
        <w:t>PAI C</w:t>
      </w:r>
    </w:p>
    <w:p w14:paraId="3D27C09A" w14:textId="77777777" w:rsidR="00043AD8" w:rsidRPr="00043AD8" w:rsidRDefault="00043AD8">
      <w:pPr>
        <w:rPr>
          <w:b/>
          <w:bCs/>
          <w:lang w:val="en-GB"/>
        </w:rPr>
      </w:pPr>
    </w:p>
    <w:tbl>
      <w:tblPr>
        <w:tblStyle w:val="KisiTabel"/>
        <w:tblW w:w="0" w:type="auto"/>
        <w:tblLook w:val="04A0" w:firstRow="1" w:lastRow="0" w:firstColumn="1" w:lastColumn="0" w:noHBand="0" w:noVBand="1"/>
      </w:tblPr>
      <w:tblGrid>
        <w:gridCol w:w="3631"/>
        <w:gridCol w:w="2713"/>
        <w:gridCol w:w="2672"/>
      </w:tblGrid>
      <w:tr w:rsidR="00043AD8" w14:paraId="1E7CC67B" w14:textId="77777777" w:rsidTr="00043AD8">
        <w:tc>
          <w:tcPr>
            <w:tcW w:w="3631" w:type="dxa"/>
          </w:tcPr>
          <w:p w14:paraId="3914A71E" w14:textId="77777777" w:rsidR="00043AD8" w:rsidRPr="00043AD8" w:rsidRDefault="00043AD8" w:rsidP="0077757F">
            <w:pPr>
              <w:jc w:val="center"/>
              <w:rPr>
                <w:lang w:val="en-GB"/>
              </w:rPr>
            </w:pPr>
            <w:r w:rsidRPr="00E93006">
              <w:rPr>
                <w:b/>
                <w:bCs/>
                <w:lang w:val="en-GB"/>
              </w:rPr>
              <w:t>Hukum memakai E-Wallet</w:t>
            </w:r>
          </w:p>
        </w:tc>
        <w:tc>
          <w:tcPr>
            <w:tcW w:w="2713" w:type="dxa"/>
          </w:tcPr>
          <w:p w14:paraId="685BF533" w14:textId="77777777" w:rsidR="00043AD8" w:rsidRPr="00E93006" w:rsidRDefault="00043AD8" w:rsidP="0077757F">
            <w:pPr>
              <w:jc w:val="center"/>
              <w:rPr>
                <w:b/>
                <w:bCs/>
                <w:lang w:val="en-GB"/>
              </w:rPr>
            </w:pPr>
            <w:r w:rsidRPr="00E93006">
              <w:rPr>
                <w:b/>
                <w:bCs/>
                <w:lang w:val="en-GB"/>
              </w:rPr>
              <w:t>Pendapat pertama</w:t>
            </w:r>
          </w:p>
        </w:tc>
        <w:tc>
          <w:tcPr>
            <w:tcW w:w="2672" w:type="dxa"/>
          </w:tcPr>
          <w:p w14:paraId="2ADA946C" w14:textId="77777777" w:rsidR="00043AD8" w:rsidRPr="00E93006" w:rsidRDefault="00043AD8" w:rsidP="0077757F">
            <w:pPr>
              <w:jc w:val="center"/>
              <w:rPr>
                <w:b/>
                <w:bCs/>
                <w:lang w:val="en-GB"/>
              </w:rPr>
            </w:pPr>
            <w:r w:rsidRPr="00E93006">
              <w:rPr>
                <w:b/>
                <w:bCs/>
                <w:lang w:val="en-GB"/>
              </w:rPr>
              <w:t>Pendapat kedua</w:t>
            </w:r>
          </w:p>
        </w:tc>
      </w:tr>
      <w:tr w:rsidR="00043AD8" w14:paraId="675057BC" w14:textId="77777777" w:rsidTr="00043AD8">
        <w:tc>
          <w:tcPr>
            <w:tcW w:w="3631" w:type="dxa"/>
          </w:tcPr>
          <w:p w14:paraId="33D72EF5" w14:textId="27578A99" w:rsidR="00043AD8" w:rsidRPr="00043AD8" w:rsidRDefault="00043AD8" w:rsidP="00043AD8">
            <w:pPr>
              <w:jc w:val="center"/>
              <w:rPr>
                <w:b/>
                <w:bCs/>
                <w:lang w:val="en-GB"/>
              </w:rPr>
            </w:pPr>
            <w:r w:rsidRPr="00043AD8">
              <w:rPr>
                <w:b/>
                <w:bCs/>
                <w:lang w:val="en-GB"/>
              </w:rPr>
              <w:t>Pendapat Ulama</w:t>
            </w:r>
          </w:p>
        </w:tc>
        <w:tc>
          <w:tcPr>
            <w:tcW w:w="2713" w:type="dxa"/>
          </w:tcPr>
          <w:p w14:paraId="61313169" w14:textId="08D5C58A" w:rsidR="00043AD8" w:rsidRPr="00043AD8" w:rsidRDefault="00CC0FF2" w:rsidP="00D43CAE">
            <w:pPr>
              <w:rPr>
                <w:lang w:val="en-GB"/>
              </w:rPr>
            </w:pPr>
            <w:r>
              <w:rPr>
                <w:lang w:val="en-GB"/>
              </w:rPr>
              <w:t>Penggunaan</w:t>
            </w:r>
            <w:r w:rsidRPr="00CC0FF2">
              <w:rPr>
                <w:lang w:val="en-GB"/>
              </w:rPr>
              <w:t xml:space="preserve"> e-wallet hukumnya boleh selama tidak melanggar prinsip syariah.</w:t>
            </w:r>
            <w:r>
              <w:rPr>
                <w:lang w:val="en-GB"/>
              </w:rPr>
              <w:t xml:space="preserve"> K</w:t>
            </w:r>
            <w:r w:rsidRPr="00CC0FF2">
              <w:rPr>
                <w:lang w:val="en-GB"/>
              </w:rPr>
              <w:t>arena e-wallet hanya sebagai alat pembayaran modern, sehingga mengikuti hukum dasar muamalah yaitu boleh, selama tidak mengandung riba, gharar, dan maysir. Dalam praktiknya bisa termasuk akad wadiah, qardh, atau wakalah, sehingga jika sistemnya jelas maka hukumnya halal.</w:t>
            </w:r>
            <w:r w:rsidR="00DC7DC3">
              <w:rPr>
                <w:rStyle w:val="ReferensiCatatanKaki"/>
                <w:lang w:val="en-GB"/>
              </w:rPr>
              <w:footnoteReference w:id="1"/>
            </w:r>
          </w:p>
        </w:tc>
        <w:tc>
          <w:tcPr>
            <w:tcW w:w="2672" w:type="dxa"/>
          </w:tcPr>
          <w:p w14:paraId="37418321" w14:textId="040E25AF" w:rsidR="00043AD8" w:rsidRPr="00043AD8" w:rsidRDefault="00CC0FF2">
            <w:pPr>
              <w:rPr>
                <w:lang w:val="en-GB"/>
              </w:rPr>
            </w:pPr>
            <w:r>
              <w:rPr>
                <w:lang w:val="en-GB"/>
              </w:rPr>
              <w:t xml:space="preserve">Penggunaan </w:t>
            </w:r>
            <w:r w:rsidRPr="00CC0FF2">
              <w:rPr>
                <w:lang w:val="en-GB"/>
              </w:rPr>
              <w:t>e-wallet bisa menjadi haram karena terdapat potensi masalah seperti ketidakjelasan akad, adanya cashback yang dianggap mirip riba, dan risiko penyalahgunaan dana. Selain itu, status uang dalam e-wallet sering tidak jelas sehingga menimbulkan keraguan</w:t>
            </w:r>
            <w:r>
              <w:rPr>
                <w:lang w:val="en-GB"/>
              </w:rPr>
              <w:t>.</w:t>
            </w:r>
            <w:r>
              <w:rPr>
                <w:rStyle w:val="ReferensiCatatanKaki"/>
                <w:lang w:val="en-GB"/>
              </w:rPr>
              <w:footnoteReference w:id="2"/>
            </w:r>
          </w:p>
        </w:tc>
      </w:tr>
      <w:tr w:rsidR="00043AD8" w14:paraId="331DD817" w14:textId="77777777" w:rsidTr="00043AD8">
        <w:tc>
          <w:tcPr>
            <w:tcW w:w="3631" w:type="dxa"/>
          </w:tcPr>
          <w:p w14:paraId="1042C3D5" w14:textId="77777777" w:rsidR="00043AD8" w:rsidRPr="00043AD8" w:rsidRDefault="00043AD8" w:rsidP="00043AD8">
            <w:pPr>
              <w:jc w:val="center"/>
              <w:rPr>
                <w:b/>
                <w:bCs/>
                <w:rtl/>
                <w:lang w:val="en-GB"/>
              </w:rPr>
            </w:pPr>
            <w:r w:rsidRPr="00043AD8">
              <w:rPr>
                <w:b/>
                <w:bCs/>
                <w:lang w:val="en-GB"/>
              </w:rPr>
              <w:t>Dalil</w:t>
            </w:r>
          </w:p>
        </w:tc>
        <w:tc>
          <w:tcPr>
            <w:tcW w:w="2713" w:type="dxa"/>
          </w:tcPr>
          <w:p w14:paraId="6C5F7182" w14:textId="4DD954CD" w:rsidR="00CC0FF2" w:rsidRPr="00AC65C1" w:rsidRDefault="00B34EDA" w:rsidP="00CC0FF2">
            <w:pPr>
              <w:rPr>
                <w:lang w:val="en-GB"/>
              </w:rPr>
            </w:pPr>
            <w:r w:rsidRPr="00B34EDA">
              <w:rPr>
                <w:lang w:val="en-GB"/>
              </w:rPr>
              <w:t>Berdasarkan kaidah: الأصل في المعاملات الإباحة إلا أن يدل دليل على تحريمها</w:t>
            </w:r>
            <w:r>
              <w:rPr>
                <w:lang w:val="en-GB"/>
              </w:rPr>
              <w:t xml:space="preserve"> </w:t>
            </w:r>
            <w:r w:rsidRPr="00B34EDA">
              <w:rPr>
                <w:lang w:val="en-GB"/>
              </w:rPr>
              <w:t>yang artinya hukum asal muamalah itu boleh. Selain itu, QS. Al-Baqarah: 275 menjelaskan bahwa jual beli halal dan riba haram, sehingga e-wallet boleh selama tidak mengandung riba.</w:t>
            </w:r>
            <w:r w:rsidR="00774528">
              <w:rPr>
                <w:rStyle w:val="ReferensiCatatanKaki"/>
                <w:lang w:val="en-GB"/>
              </w:rPr>
              <w:footnoteReference w:id="3"/>
            </w:r>
          </w:p>
          <w:p w14:paraId="24926BBC" w14:textId="2DC84B18" w:rsidR="00043AD8" w:rsidRPr="00AC65C1" w:rsidRDefault="00043AD8" w:rsidP="00AC65C1">
            <w:pPr>
              <w:rPr>
                <w:lang w:val="en-GB"/>
              </w:rPr>
            </w:pPr>
          </w:p>
        </w:tc>
        <w:tc>
          <w:tcPr>
            <w:tcW w:w="2672" w:type="dxa"/>
          </w:tcPr>
          <w:p w14:paraId="3054751E" w14:textId="7E5BC753" w:rsidR="00043AD8" w:rsidRPr="00B779FF" w:rsidRDefault="00B34EDA" w:rsidP="00B34EDA">
            <w:pPr>
              <w:rPr>
                <w:lang w:val="en-GB"/>
              </w:rPr>
            </w:pPr>
            <w:r w:rsidRPr="00B34EDA">
              <w:rPr>
                <w:lang w:val="en-GB"/>
              </w:rPr>
              <w:t>Berdasarkan hadis: نهى رسول الله عن بيع الغرر yang melarang transaksi yang mengandung ketidakjelasan. Jika e-wallet tidak jelas akadnya, maka bisa termasuk gharar.</w:t>
            </w:r>
            <w:r w:rsidR="00B11AFC">
              <w:rPr>
                <w:rStyle w:val="ReferensiCatatanKaki"/>
                <w:lang w:val="en-GB"/>
              </w:rPr>
              <w:footnoteReference w:id="4"/>
            </w:r>
          </w:p>
        </w:tc>
      </w:tr>
      <w:tr w:rsidR="00043AD8" w14:paraId="1A9B9AE2" w14:textId="77777777" w:rsidTr="00043AD8">
        <w:tc>
          <w:tcPr>
            <w:tcW w:w="3631" w:type="dxa"/>
          </w:tcPr>
          <w:p w14:paraId="1AF7BC2E" w14:textId="77777777" w:rsidR="00043AD8" w:rsidRPr="00043AD8" w:rsidRDefault="00043AD8" w:rsidP="00043AD8">
            <w:pPr>
              <w:jc w:val="center"/>
              <w:rPr>
                <w:b/>
                <w:bCs/>
                <w:lang w:val="en-GB"/>
              </w:rPr>
            </w:pPr>
            <w:r w:rsidRPr="00043AD8">
              <w:rPr>
                <w:b/>
                <w:bCs/>
                <w:lang w:val="en-GB"/>
              </w:rPr>
              <w:t>Metode</w:t>
            </w:r>
          </w:p>
        </w:tc>
        <w:tc>
          <w:tcPr>
            <w:tcW w:w="2713" w:type="dxa"/>
          </w:tcPr>
          <w:p w14:paraId="2CFAF1AD" w14:textId="23679967" w:rsidR="00043AD8" w:rsidRPr="00B779FF" w:rsidRDefault="00B34EDA">
            <w:pPr>
              <w:rPr>
                <w:lang w:val="en-GB"/>
              </w:rPr>
            </w:pPr>
            <w:r w:rsidRPr="00B34EDA">
              <w:rPr>
                <w:lang w:val="en-GB"/>
              </w:rPr>
              <w:t>Pendapat ini menggunakan istishab (hukum asal boleh), qiyas (disamakan dengan uang), dan maslahah karena memudahkan transaksi.</w:t>
            </w:r>
            <w:r w:rsidR="00B11AFC">
              <w:rPr>
                <w:rStyle w:val="ReferensiCatatanKaki"/>
                <w:lang w:val="en-GB"/>
              </w:rPr>
              <w:footnoteReference w:id="5"/>
            </w:r>
          </w:p>
        </w:tc>
        <w:tc>
          <w:tcPr>
            <w:tcW w:w="2672" w:type="dxa"/>
          </w:tcPr>
          <w:p w14:paraId="32163FD5" w14:textId="02552482" w:rsidR="00043AD8" w:rsidRPr="00B779FF" w:rsidRDefault="00B34EDA">
            <w:pPr>
              <w:rPr>
                <w:lang w:val="en-GB"/>
              </w:rPr>
            </w:pPr>
            <w:r w:rsidRPr="00B34EDA">
              <w:rPr>
                <w:lang w:val="en-GB"/>
              </w:rPr>
              <w:t>Pendapat ini menggunakan sadd az-zari’ah (mencegah yang haram) dan ihtiyath (kehati-hatian) dengan fokus pada kemungkinan dampak buruk.</w:t>
            </w:r>
            <w:r w:rsidR="00B11AFC">
              <w:rPr>
                <w:rStyle w:val="ReferensiCatatanKaki"/>
                <w:lang w:val="en-GB"/>
              </w:rPr>
              <w:footnoteReference w:id="6"/>
            </w:r>
          </w:p>
        </w:tc>
      </w:tr>
      <w:tr w:rsidR="00043AD8" w14:paraId="41416CBC" w14:textId="77777777" w:rsidTr="00043AD8">
        <w:tc>
          <w:tcPr>
            <w:tcW w:w="3631" w:type="dxa"/>
          </w:tcPr>
          <w:p w14:paraId="5E919509" w14:textId="77777777" w:rsidR="00043AD8" w:rsidRPr="00043AD8" w:rsidRDefault="00043AD8" w:rsidP="00043AD8">
            <w:pPr>
              <w:jc w:val="center"/>
              <w:rPr>
                <w:b/>
                <w:bCs/>
                <w:lang w:val="en-GB"/>
              </w:rPr>
            </w:pPr>
            <w:r w:rsidRPr="00043AD8">
              <w:rPr>
                <w:b/>
                <w:bCs/>
                <w:lang w:val="en-GB"/>
              </w:rPr>
              <w:t>Alasan</w:t>
            </w:r>
          </w:p>
        </w:tc>
        <w:tc>
          <w:tcPr>
            <w:tcW w:w="2713" w:type="dxa"/>
          </w:tcPr>
          <w:p w14:paraId="120F584F" w14:textId="1D98DC4E" w:rsidR="00043AD8" w:rsidRPr="00B779FF" w:rsidRDefault="00B34EDA">
            <w:pPr>
              <w:rPr>
                <w:lang w:val="en-GB"/>
              </w:rPr>
            </w:pPr>
            <w:r w:rsidRPr="00B34EDA">
              <w:rPr>
                <w:lang w:val="en-GB"/>
              </w:rPr>
              <w:t xml:space="preserve">Karena e-wallet memudahkan, tidak ada larangan khusus, bisa disesuaikan dengan akad syariah, dan sudah </w:t>
            </w:r>
            <w:r w:rsidRPr="00B34EDA">
              <w:rPr>
                <w:lang w:val="en-GB"/>
              </w:rPr>
              <w:lastRenderedPageBreak/>
              <w:t>difatwakan boleh oleh DSN-MUI dengan syarat.</w:t>
            </w:r>
            <w:r w:rsidR="003D1A75">
              <w:rPr>
                <w:rStyle w:val="ReferensiCatatanKaki"/>
                <w:lang w:val="en-GB"/>
              </w:rPr>
              <w:footnoteReference w:id="7"/>
            </w:r>
          </w:p>
        </w:tc>
        <w:tc>
          <w:tcPr>
            <w:tcW w:w="2672" w:type="dxa"/>
          </w:tcPr>
          <w:p w14:paraId="71BB8099" w14:textId="3E979B2A" w:rsidR="00043AD8" w:rsidRPr="00EC1B3B" w:rsidRDefault="00B34EDA">
            <w:pPr>
              <w:rPr>
                <w:lang w:val="en-GB"/>
              </w:rPr>
            </w:pPr>
            <w:r w:rsidRPr="00B34EDA">
              <w:rPr>
                <w:lang w:val="en-GB"/>
              </w:rPr>
              <w:lastRenderedPageBreak/>
              <w:t xml:space="preserve">Karena ada potensi riba dari cashback, akad kurang jelas, risiko penyalahgunaan, dan </w:t>
            </w:r>
            <w:r w:rsidRPr="00B34EDA">
              <w:rPr>
                <w:lang w:val="en-GB"/>
              </w:rPr>
              <w:lastRenderedPageBreak/>
              <w:t>adanya unsur gharar.</w:t>
            </w:r>
            <w:r w:rsidR="003D1A75">
              <w:rPr>
                <w:rStyle w:val="ReferensiCatatanKaki"/>
                <w:lang w:val="en-GB"/>
              </w:rPr>
              <w:footnoteReference w:id="8"/>
            </w:r>
          </w:p>
        </w:tc>
      </w:tr>
      <w:tr w:rsidR="00043AD8" w14:paraId="560B57D5" w14:textId="77777777" w:rsidTr="00043AD8">
        <w:tc>
          <w:tcPr>
            <w:tcW w:w="3631" w:type="dxa"/>
          </w:tcPr>
          <w:p w14:paraId="05F54B95" w14:textId="77777777" w:rsidR="00043AD8" w:rsidRPr="00043AD8" w:rsidRDefault="00043AD8" w:rsidP="00043AD8">
            <w:pPr>
              <w:jc w:val="center"/>
              <w:rPr>
                <w:b/>
                <w:bCs/>
                <w:lang w:val="en-GB"/>
              </w:rPr>
            </w:pPr>
            <w:r w:rsidRPr="00043AD8">
              <w:rPr>
                <w:b/>
                <w:bCs/>
                <w:lang w:val="en-GB"/>
              </w:rPr>
              <w:lastRenderedPageBreak/>
              <w:t>Kelemahan</w:t>
            </w:r>
          </w:p>
        </w:tc>
        <w:tc>
          <w:tcPr>
            <w:tcW w:w="2713" w:type="dxa"/>
          </w:tcPr>
          <w:p w14:paraId="2E613A18" w14:textId="0640B88C" w:rsidR="00043AD8" w:rsidRPr="00EC1B3B" w:rsidRDefault="00B34EDA">
            <w:pPr>
              <w:rPr>
                <w:lang w:val="en-GB"/>
              </w:rPr>
            </w:pPr>
            <w:r w:rsidRPr="00B34EDA">
              <w:rPr>
                <w:lang w:val="en-GB"/>
              </w:rPr>
              <w:t>Terlalu umum dan kurang memperhatikan praktik nyata, serta tidak semua e-wallet sesuai syariah.</w:t>
            </w:r>
            <w:r w:rsidR="003D1A75">
              <w:rPr>
                <w:rStyle w:val="ReferensiCatatanKaki"/>
                <w:lang w:val="en-GB"/>
              </w:rPr>
              <w:footnoteReference w:id="9"/>
            </w:r>
          </w:p>
        </w:tc>
        <w:tc>
          <w:tcPr>
            <w:tcW w:w="2672" w:type="dxa"/>
          </w:tcPr>
          <w:p w14:paraId="62FE6F93" w14:textId="3C6130B1" w:rsidR="00043AD8" w:rsidRPr="003114B5" w:rsidRDefault="00B34EDA">
            <w:pPr>
              <w:rPr>
                <w:lang w:val="en-GB"/>
              </w:rPr>
            </w:pPr>
            <w:r w:rsidRPr="00B34EDA">
              <w:rPr>
                <w:lang w:val="en-GB"/>
              </w:rPr>
              <w:t>Terlalu ketat dan bisa menghambat perkembangan, padahal tidak semua e-wallet bermasalah.</w:t>
            </w:r>
            <w:r w:rsidR="003D1A75">
              <w:rPr>
                <w:rStyle w:val="ReferensiCatatanKaki"/>
                <w:lang w:val="en-GB"/>
              </w:rPr>
              <w:footnoteReference w:id="10"/>
            </w:r>
          </w:p>
        </w:tc>
      </w:tr>
      <w:tr w:rsidR="00043AD8" w14:paraId="24AE83AA" w14:textId="77777777" w:rsidTr="00043AD8">
        <w:tc>
          <w:tcPr>
            <w:tcW w:w="3631" w:type="dxa"/>
          </w:tcPr>
          <w:p w14:paraId="0C3562C5" w14:textId="77777777" w:rsidR="00043AD8" w:rsidRPr="00043AD8" w:rsidRDefault="00043AD8" w:rsidP="00043AD8">
            <w:pPr>
              <w:jc w:val="center"/>
              <w:rPr>
                <w:b/>
                <w:bCs/>
                <w:lang w:val="en-GB"/>
              </w:rPr>
            </w:pPr>
            <w:r w:rsidRPr="00043AD8">
              <w:rPr>
                <w:b/>
                <w:bCs/>
                <w:lang w:val="en-GB"/>
              </w:rPr>
              <w:t>Kekuatan</w:t>
            </w:r>
          </w:p>
        </w:tc>
        <w:tc>
          <w:tcPr>
            <w:tcW w:w="2713" w:type="dxa"/>
          </w:tcPr>
          <w:p w14:paraId="771AD19E" w14:textId="33BE7FCF" w:rsidR="00043AD8" w:rsidRPr="00701D46" w:rsidRDefault="00701D46">
            <w:pPr>
              <w:rPr>
                <w:lang w:val="en-US"/>
              </w:rPr>
            </w:pPr>
            <w:r>
              <w:rPr>
                <w:lang w:val="en-US"/>
              </w:rPr>
              <w:t>Sesuai kaidah fiqih, Fleksibel, dan dukungan fatwa resmi.</w:t>
            </w:r>
            <w:r w:rsidR="003D1A75">
              <w:rPr>
                <w:rStyle w:val="ReferensiCatatanKaki"/>
                <w:lang w:val="en-US"/>
              </w:rPr>
              <w:footnoteReference w:id="11"/>
            </w:r>
          </w:p>
        </w:tc>
        <w:tc>
          <w:tcPr>
            <w:tcW w:w="2672" w:type="dxa"/>
          </w:tcPr>
          <w:p w14:paraId="5AE88120" w14:textId="58CC501F" w:rsidR="00043AD8" w:rsidRPr="00701D46" w:rsidRDefault="00701D46" w:rsidP="003114B5">
            <w:pPr>
              <w:rPr>
                <w:lang w:val="en-US"/>
              </w:rPr>
            </w:pPr>
            <w:r>
              <w:rPr>
                <w:lang w:val="en-US"/>
              </w:rPr>
              <w:t>Lebih hati-hati dan menjaga prinsip Syariah dengan ketat.</w:t>
            </w:r>
            <w:r w:rsidR="003D1A75">
              <w:rPr>
                <w:rStyle w:val="ReferensiCatatanKaki"/>
                <w:lang w:val="en-US"/>
              </w:rPr>
              <w:footnoteReference w:id="12"/>
            </w:r>
          </w:p>
        </w:tc>
      </w:tr>
      <w:tr w:rsidR="00043AD8" w14:paraId="65B828C1" w14:textId="77777777" w:rsidTr="00043AD8">
        <w:tc>
          <w:tcPr>
            <w:tcW w:w="3631" w:type="dxa"/>
          </w:tcPr>
          <w:p w14:paraId="55FDDED5" w14:textId="77777777" w:rsidR="00043AD8" w:rsidRPr="00043AD8" w:rsidRDefault="00043AD8" w:rsidP="00043AD8">
            <w:pPr>
              <w:widowControl/>
              <w:autoSpaceDE/>
              <w:autoSpaceDN/>
              <w:jc w:val="center"/>
              <w:rPr>
                <w:rFonts w:eastAsia="Times New Roman" w:cs="Times New Roman"/>
                <w:b/>
                <w:bCs/>
                <w:sz w:val="24"/>
                <w:szCs w:val="24"/>
                <w:lang w:val="en-GB" w:eastAsia="en-GB"/>
              </w:rPr>
            </w:pPr>
            <w:r w:rsidRPr="00043AD8">
              <w:rPr>
                <w:rFonts w:eastAsia="Times New Roman" w:cs="Times New Roman"/>
                <w:b/>
                <w:bCs/>
                <w:sz w:val="24"/>
                <w:szCs w:val="24"/>
                <w:lang w:val="en-GB" w:eastAsia="en-GB"/>
              </w:rPr>
              <w:t>Para ulama</w:t>
            </w:r>
          </w:p>
        </w:tc>
        <w:tc>
          <w:tcPr>
            <w:tcW w:w="2713" w:type="dxa"/>
          </w:tcPr>
          <w:p w14:paraId="075A7590" w14:textId="3A25B189" w:rsidR="00043AD8" w:rsidRPr="00043AD8" w:rsidRDefault="00701D46" w:rsidP="00043AD8">
            <w:pPr>
              <w:widowControl/>
              <w:autoSpaceDE/>
              <w:autoSpaceDN/>
              <w:rPr>
                <w:rFonts w:eastAsia="Times New Roman" w:cs="Times New Roman"/>
                <w:sz w:val="24"/>
                <w:szCs w:val="24"/>
                <w:lang w:val="en-GB" w:eastAsia="en-GB"/>
              </w:rPr>
            </w:pPr>
            <w:r>
              <w:rPr>
                <w:rFonts w:eastAsia="Times New Roman" w:cs="Times New Roman"/>
                <w:sz w:val="24"/>
                <w:szCs w:val="24"/>
                <w:lang w:val="en-GB" w:eastAsia="en-GB"/>
              </w:rPr>
              <w:t>DSN-MUI</w:t>
            </w:r>
          </w:p>
        </w:tc>
        <w:tc>
          <w:tcPr>
            <w:tcW w:w="2672" w:type="dxa"/>
          </w:tcPr>
          <w:p w14:paraId="345CC32B" w14:textId="7439F52D" w:rsidR="00043AD8" w:rsidRPr="00043AD8" w:rsidRDefault="00701D46" w:rsidP="00043AD8">
            <w:pPr>
              <w:widowControl/>
              <w:autoSpaceDE/>
              <w:autoSpaceDN/>
              <w:rPr>
                <w:rFonts w:eastAsia="Times New Roman" w:cs="Times New Roman"/>
                <w:sz w:val="24"/>
                <w:szCs w:val="24"/>
                <w:lang w:val="en-GB" w:eastAsia="en-GB"/>
              </w:rPr>
            </w:pPr>
            <w:r>
              <w:rPr>
                <w:rFonts w:eastAsia="Times New Roman" w:cs="Times New Roman"/>
                <w:sz w:val="24"/>
                <w:szCs w:val="24"/>
                <w:lang w:val="en-GB" w:eastAsia="en-GB"/>
              </w:rPr>
              <w:t>Syaikh Bakr Abu Zahid</w:t>
            </w:r>
          </w:p>
        </w:tc>
      </w:tr>
      <w:tr w:rsidR="00043AD8" w14:paraId="31FE68F0" w14:textId="77777777" w:rsidTr="009532DB">
        <w:trPr>
          <w:trHeight w:val="1781"/>
        </w:trPr>
        <w:tc>
          <w:tcPr>
            <w:tcW w:w="9016" w:type="dxa"/>
            <w:gridSpan w:val="3"/>
          </w:tcPr>
          <w:p w14:paraId="4532BAC7" w14:textId="2029175A" w:rsidR="007A69C8" w:rsidRDefault="00043AD8" w:rsidP="00701D46">
            <w:pPr>
              <w:rPr>
                <w:lang w:val="en-US"/>
              </w:rPr>
            </w:pPr>
            <w:r w:rsidRPr="00973CDE">
              <w:rPr>
                <w:b/>
                <w:bCs/>
                <w:lang w:val="en-GB"/>
              </w:rPr>
              <w:t>Persamaan kedua pendapat</w:t>
            </w:r>
            <w:r>
              <w:rPr>
                <w:lang w:val="en-GB"/>
              </w:rPr>
              <w:t>:</w:t>
            </w:r>
            <w:r w:rsidR="001A6663">
              <w:t xml:space="preserve"> </w:t>
            </w:r>
            <w:r w:rsidR="001A6663" w:rsidRPr="001A6663">
              <w:rPr>
                <w:lang w:val="en-GB"/>
              </w:rPr>
              <w:t>Kedua pendapat sama-sama sepakat bahwa penggunaan e-wallet harus sesuai dengan syariah, yaitu tidak boleh mengandung riba, gharar, dan maysir, serta bertujuan menjaga transaksi tetap halal</w:t>
            </w:r>
            <w:r w:rsidR="007A69C8">
              <w:rPr>
                <w:lang w:val="en-GB"/>
              </w:rPr>
              <w:t>.</w:t>
            </w:r>
            <w:r w:rsidR="007A69C8">
              <w:rPr>
                <w:rStyle w:val="ReferensiCatatanKaki"/>
                <w:lang w:val="en-GB"/>
              </w:rPr>
              <w:footnoteReference w:id="13"/>
            </w:r>
          </w:p>
          <w:p w14:paraId="57FD7856" w14:textId="7864919A" w:rsidR="00043AD8" w:rsidRPr="001A6663" w:rsidRDefault="00043AD8" w:rsidP="00701D46">
            <w:pPr>
              <w:rPr>
                <w:lang w:val="en-US"/>
              </w:rPr>
            </w:pPr>
            <w:r w:rsidRPr="00043AD8">
              <w:rPr>
                <w:b/>
                <w:bCs/>
                <w:lang w:val="en-GB"/>
              </w:rPr>
              <w:t xml:space="preserve">Analisis pendapat pribadi: </w:t>
            </w:r>
            <w:r>
              <w:t>Menurut saya,</w:t>
            </w:r>
            <w:r w:rsidR="001A6663">
              <w:rPr>
                <w:lang w:val="en-US"/>
              </w:rPr>
              <w:t xml:space="preserve"> </w:t>
            </w:r>
            <w:r w:rsidR="001A6663" w:rsidRPr="001A6663">
              <w:rPr>
                <w:lang w:val="en-US"/>
              </w:rPr>
              <w:t>Pendapat yang lebih kuat adalah membolehkan dengan syarat, karena sesuai kaidah muamalah, didukung fatwa DSN-MUI, dan e-wallet hanya sebagai alat. Namun tetap harus selektif dan menghindari fitur yang mengandung riba</w:t>
            </w:r>
            <w:r w:rsidR="001A6663">
              <w:rPr>
                <w:lang w:val="en-US"/>
              </w:rPr>
              <w:t>.</w:t>
            </w:r>
          </w:p>
        </w:tc>
      </w:tr>
    </w:tbl>
    <w:p w14:paraId="080C9608" w14:textId="77777777" w:rsidR="00695198" w:rsidRPr="00695198" w:rsidRDefault="00695198" w:rsidP="00695198"/>
    <w:p w14:paraId="65E47863" w14:textId="77777777" w:rsidR="00695198" w:rsidRPr="00695198" w:rsidRDefault="00695198" w:rsidP="00695198"/>
    <w:p w14:paraId="08EB52BF" w14:textId="77777777" w:rsidR="00695198" w:rsidRDefault="00695198" w:rsidP="00695198"/>
    <w:p w14:paraId="46D228A0" w14:textId="77777777" w:rsidR="000A5209" w:rsidRPr="00695198" w:rsidRDefault="00695198" w:rsidP="00695198">
      <w:pPr>
        <w:tabs>
          <w:tab w:val="left" w:pos="7395"/>
        </w:tabs>
      </w:pPr>
      <w:r>
        <w:tab/>
      </w:r>
    </w:p>
    <w:sectPr w:rsidR="000A5209" w:rsidRPr="00695198" w:rsidSect="00695198">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6F04" w14:textId="77777777" w:rsidR="00AE1E23" w:rsidRDefault="00AE1E23" w:rsidP="00043AD8">
      <w:r>
        <w:separator/>
      </w:r>
    </w:p>
  </w:endnote>
  <w:endnote w:type="continuationSeparator" w:id="0">
    <w:p w14:paraId="01C69EB7" w14:textId="77777777" w:rsidR="00AE1E23" w:rsidRDefault="00AE1E23" w:rsidP="0004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1211D" w14:textId="77777777" w:rsidR="00AE1E23" w:rsidRDefault="00AE1E23" w:rsidP="00043AD8">
      <w:r>
        <w:separator/>
      </w:r>
    </w:p>
  </w:footnote>
  <w:footnote w:type="continuationSeparator" w:id="0">
    <w:p w14:paraId="43EB84C2" w14:textId="77777777" w:rsidR="00AE1E23" w:rsidRDefault="00AE1E23" w:rsidP="00043AD8">
      <w:r>
        <w:continuationSeparator/>
      </w:r>
    </w:p>
  </w:footnote>
  <w:footnote w:id="1">
    <w:p w14:paraId="5647EE18" w14:textId="2EE69982" w:rsidR="00DC7DC3" w:rsidRPr="00DC7DC3" w:rsidRDefault="00DC7DC3">
      <w:pPr>
        <w:pStyle w:val="TeksCatatanKaki"/>
        <w:rPr>
          <w:lang w:val="en-US"/>
        </w:rPr>
      </w:pPr>
      <w:r>
        <w:rPr>
          <w:rStyle w:val="ReferensiCatatanKaki"/>
        </w:rPr>
        <w:footnoteRef/>
      </w:r>
      <w:r>
        <w:t xml:space="preserve"> </w:t>
      </w:r>
      <w:r w:rsidRPr="00DC7DC3">
        <w:t>Jurnal Hukum Ekonomi Syariah (JHESy). (2025). Jurnal Hukum Ekonomi Syariah, 4(2), Desember. LPPM STAI Al Musaddadiyah Garut. ISSN 2962-7648.</w:t>
      </w:r>
    </w:p>
  </w:footnote>
  <w:footnote w:id="2">
    <w:p w14:paraId="645EA2A9" w14:textId="42E6FA1B" w:rsidR="00CC0FF2" w:rsidRPr="00CC0FF2" w:rsidRDefault="00CC0FF2">
      <w:pPr>
        <w:pStyle w:val="TeksCatatanKaki"/>
        <w:rPr>
          <w:lang w:val="en-US"/>
        </w:rPr>
      </w:pPr>
      <w:r>
        <w:rPr>
          <w:rStyle w:val="ReferensiCatatanKaki"/>
        </w:rPr>
        <w:footnoteRef/>
      </w:r>
      <w:r>
        <w:t xml:space="preserve"> </w:t>
      </w:r>
      <w:r w:rsidRPr="00CC0FF2">
        <w:t>Andaru. (2021). Syarat agar uang elektronik sesuai syariah. Hukumonline.</w:t>
      </w:r>
    </w:p>
  </w:footnote>
  <w:footnote w:id="3">
    <w:p w14:paraId="25972167" w14:textId="5A9C610D" w:rsidR="00774528" w:rsidRPr="00774528" w:rsidRDefault="00774528">
      <w:pPr>
        <w:pStyle w:val="TeksCatatanKaki"/>
        <w:rPr>
          <w:lang w:val="en-US"/>
        </w:rPr>
      </w:pPr>
      <w:r>
        <w:rPr>
          <w:rStyle w:val="ReferensiCatatanKaki"/>
        </w:rPr>
        <w:footnoteRef/>
      </w:r>
      <w:r>
        <w:t xml:space="preserve"> </w:t>
      </w:r>
      <w:r w:rsidR="00B11AFC" w:rsidRPr="00B11AFC">
        <w:t>Mubarroq, A. C., &amp; Latifah, L. (2023). Analisis Konsep Muamalah Berdasarkan Kaidah Fiqh Muamalah Kontemporer. Tadayun: Jurnal Hukum Ekonomi Syariah, 4(1), 95-108.</w:t>
      </w:r>
    </w:p>
  </w:footnote>
  <w:footnote w:id="4">
    <w:p w14:paraId="21FAB5BD" w14:textId="546AE1DC" w:rsidR="00B11AFC" w:rsidRPr="00B11AFC" w:rsidRDefault="00B11AFC">
      <w:pPr>
        <w:pStyle w:val="TeksCatatanKaki"/>
        <w:rPr>
          <w:lang w:val="en-US"/>
        </w:rPr>
      </w:pPr>
      <w:r>
        <w:rPr>
          <w:rStyle w:val="ReferensiCatatanKaki"/>
        </w:rPr>
        <w:footnoteRef/>
      </w:r>
      <w:r>
        <w:t xml:space="preserve"> </w:t>
      </w:r>
      <w:r w:rsidRPr="00B11AFC">
        <w:t>Muttaqin, M. Z. (2024). Implementasi E-Money Dalam Perspektif Hukum Ekonomi Syariah: Analisis Prinsip Dan Kepatuhan Syariah. Innovative: Journal Of Social Science Research, 4(5)</w:t>
      </w:r>
    </w:p>
  </w:footnote>
  <w:footnote w:id="5">
    <w:p w14:paraId="5874CE25" w14:textId="5D8382ED" w:rsidR="00B11AFC" w:rsidRPr="00B11AFC" w:rsidRDefault="00B11AFC">
      <w:pPr>
        <w:pStyle w:val="TeksCatatanKaki"/>
        <w:rPr>
          <w:lang w:val="en-US"/>
        </w:rPr>
      </w:pPr>
      <w:r>
        <w:rPr>
          <w:rStyle w:val="ReferensiCatatanKaki"/>
        </w:rPr>
        <w:footnoteRef/>
      </w:r>
      <w:r>
        <w:t xml:space="preserve"> </w:t>
      </w:r>
      <w:r w:rsidRPr="00B11AFC">
        <w:t>WAHYUNI, E. (2025). KOMPARASI FATWA DSN-MUI NO. 116 DSN-MUI/IX/2017 DAN PUTUSAN IJTIMA ULAMA KOMISI FATWA SE-INDONESIA KE 7 DALAM PERSPEKTIF FIQIH MUAMALAH TERHADAP CRYPTOCURRENCY SEBAGAI UANG ELEKTRONIK (Doctoral dissertation, UIN Fatmawati Sukarno Bengkulu).</w:t>
      </w:r>
    </w:p>
  </w:footnote>
  <w:footnote w:id="6">
    <w:p w14:paraId="1766379E" w14:textId="6F770F62" w:rsidR="00B11AFC" w:rsidRPr="00B11AFC" w:rsidRDefault="00B11AFC">
      <w:pPr>
        <w:pStyle w:val="TeksCatatanKaki"/>
        <w:rPr>
          <w:lang w:val="en-US"/>
        </w:rPr>
      </w:pPr>
      <w:r>
        <w:rPr>
          <w:rStyle w:val="ReferensiCatatanKaki"/>
        </w:rPr>
        <w:footnoteRef/>
      </w:r>
      <w:r>
        <w:t xml:space="preserve"> </w:t>
      </w:r>
      <w:r w:rsidRPr="00B11AFC">
        <w:t>Misranetti, M. (2020). Sadd Al-Dzari’ah sebagai suatu hukum metode istinbat hukum islam. Jurnal An-Nahl, 7(1), 51-75.</w:t>
      </w:r>
    </w:p>
  </w:footnote>
  <w:footnote w:id="7">
    <w:p w14:paraId="0C48677E" w14:textId="75259A26" w:rsidR="003D1A75" w:rsidRPr="003D1A75" w:rsidRDefault="003D1A75">
      <w:pPr>
        <w:pStyle w:val="TeksCatatanKaki"/>
        <w:rPr>
          <w:lang w:val="en-US"/>
        </w:rPr>
      </w:pPr>
      <w:r>
        <w:rPr>
          <w:rStyle w:val="ReferensiCatatanKaki"/>
        </w:rPr>
        <w:footnoteRef/>
      </w:r>
      <w:r>
        <w:t xml:space="preserve"> </w:t>
      </w:r>
      <w:r w:rsidRPr="003D1A75">
        <w:t>Susamto, B. (2015). Tingkat Penggunaan Multi Akad Dalam Fatwa Dewan Syari’ah Nasional–Majelis Ulama Indonesia (DSN-MUI). Al-Ihkam: Jurnal Hukum Dan Pranata Sosial, 11(1), 201-218.</w:t>
      </w:r>
    </w:p>
  </w:footnote>
  <w:footnote w:id="8">
    <w:p w14:paraId="592881BC" w14:textId="2267E173" w:rsidR="003D1A75" w:rsidRPr="003D1A75" w:rsidRDefault="003D1A75">
      <w:pPr>
        <w:pStyle w:val="TeksCatatanKaki"/>
        <w:rPr>
          <w:lang w:val="en-US"/>
        </w:rPr>
      </w:pPr>
      <w:r>
        <w:rPr>
          <w:rStyle w:val="ReferensiCatatanKaki"/>
        </w:rPr>
        <w:footnoteRef/>
      </w:r>
      <w:r>
        <w:t xml:space="preserve"> </w:t>
      </w:r>
      <w:r w:rsidRPr="003D1A75">
        <w:t>Ruslan, M. A. B. (2024). Analisis Riba Dan Gharar Pada Perkhidmatan E-Wallet: Satu Analisis Syariah (Master's thesis, University of Malaya (Malaysia)).</w:t>
      </w:r>
    </w:p>
  </w:footnote>
  <w:footnote w:id="9">
    <w:p w14:paraId="7BF47613" w14:textId="66C205B0" w:rsidR="003D1A75" w:rsidRPr="003D1A75" w:rsidRDefault="003D1A75">
      <w:pPr>
        <w:pStyle w:val="TeksCatatanKaki"/>
        <w:rPr>
          <w:lang w:val="en-US"/>
        </w:rPr>
      </w:pPr>
      <w:r>
        <w:rPr>
          <w:rStyle w:val="ReferensiCatatanKaki"/>
        </w:rPr>
        <w:footnoteRef/>
      </w:r>
      <w:r>
        <w:t xml:space="preserve"> </w:t>
      </w:r>
      <w:r w:rsidRPr="003D1A75">
        <w:t>Abdillah, A. I. (2024). Pengaruh Konsep Diri, Literasi Keuangan Syariah, Dan Kemudahan Pembayaran Digital (E-Wallet) Terhadap Perilaku Konsumtif Mahasiswa Universitas Islam Negeri Prof. Kh Saifuddin Zuhri Purwokerto.</w:t>
      </w:r>
    </w:p>
  </w:footnote>
  <w:footnote w:id="10">
    <w:p w14:paraId="7795C486" w14:textId="658829F5" w:rsidR="003D1A75" w:rsidRPr="003D1A75" w:rsidRDefault="003D1A75">
      <w:pPr>
        <w:pStyle w:val="TeksCatatanKaki"/>
        <w:rPr>
          <w:lang w:val="en-US"/>
        </w:rPr>
      </w:pPr>
      <w:r>
        <w:rPr>
          <w:rStyle w:val="ReferensiCatatanKaki"/>
        </w:rPr>
        <w:footnoteRef/>
      </w:r>
      <w:r>
        <w:t xml:space="preserve"> </w:t>
      </w:r>
      <w:r w:rsidRPr="003D1A75">
        <w:t>Nurfadillah, S. (2025). Gagal Refund Uang Elektronik Pada E-Wallet ShopeePay Ditinjau Dari Hukum Perlindungan Konsumen (Doctoral dissertation, IAIN Metro).</w:t>
      </w:r>
    </w:p>
  </w:footnote>
  <w:footnote w:id="11">
    <w:p w14:paraId="2E39FFF1" w14:textId="2BC41136" w:rsidR="003D1A75" w:rsidRPr="003D1A75" w:rsidRDefault="003D1A75">
      <w:pPr>
        <w:pStyle w:val="TeksCatatanKaki"/>
        <w:rPr>
          <w:lang w:val="en-US"/>
        </w:rPr>
      </w:pPr>
      <w:r>
        <w:rPr>
          <w:rStyle w:val="ReferensiCatatanKaki"/>
        </w:rPr>
        <w:footnoteRef/>
      </w:r>
      <w:r>
        <w:t xml:space="preserve"> </w:t>
      </w:r>
      <w:r w:rsidR="007A69C8" w:rsidRPr="007A69C8">
        <w:t>Setyawan, B. (2025). Kristalisasi Fatwa DSN-MUI Bidang Perbankan Syari’ah (Telaah Sumber Fatwa dan Metodologi) (Doctoral dissertation, Universitas Islam Indonesia).</w:t>
      </w:r>
    </w:p>
  </w:footnote>
  <w:footnote w:id="12">
    <w:p w14:paraId="312A8789" w14:textId="0174B9DD" w:rsidR="003D1A75" w:rsidRPr="003D1A75" w:rsidRDefault="003D1A75">
      <w:pPr>
        <w:pStyle w:val="TeksCatatanKaki"/>
        <w:rPr>
          <w:lang w:val="en-US"/>
        </w:rPr>
      </w:pPr>
      <w:r>
        <w:rPr>
          <w:rStyle w:val="ReferensiCatatanKaki"/>
        </w:rPr>
        <w:footnoteRef/>
      </w:r>
      <w:r>
        <w:t xml:space="preserve"> </w:t>
      </w:r>
      <w:r w:rsidR="007A69C8" w:rsidRPr="007A69C8">
        <w:t>Maulida, M., Syabani, S. B., Sarhan, M. H., Fauzan, M., &amp; Ananda, A. R. (2024). Sadd Al-Dzari’ah: Prinsip-Prinsip Pencegahan Dalam Hukum Islam. Jurnal Cendikia ISNU SU, 1(3), 221-226.</w:t>
      </w:r>
    </w:p>
  </w:footnote>
  <w:footnote w:id="13">
    <w:p w14:paraId="6371979B" w14:textId="53470B4D" w:rsidR="007A69C8" w:rsidRPr="007A69C8" w:rsidRDefault="007A69C8">
      <w:pPr>
        <w:pStyle w:val="TeksCatatanKaki"/>
        <w:rPr>
          <w:lang w:val="en-US"/>
        </w:rPr>
      </w:pPr>
      <w:r>
        <w:rPr>
          <w:rStyle w:val="ReferensiCatatanKaki"/>
        </w:rPr>
        <w:footnoteRef/>
      </w:r>
      <w:r>
        <w:t xml:space="preserve"> </w:t>
      </w:r>
      <w:r w:rsidRPr="007A69C8">
        <w:t>Zulfahmi, Z., &amp; Maulana, N. (2022). Batasan Riba, Gharar, dan Maisir (Isu Kontemporer Dalam Hukum Bisnis Syariah). Syarah: Jurnal Hukum Islam Dan Ekonomi, 11(2), 134-150.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57F"/>
    <w:rsid w:val="00043AD8"/>
    <w:rsid w:val="00071265"/>
    <w:rsid w:val="000A5209"/>
    <w:rsid w:val="001A6663"/>
    <w:rsid w:val="001B35EF"/>
    <w:rsid w:val="001E442D"/>
    <w:rsid w:val="00306086"/>
    <w:rsid w:val="003114B5"/>
    <w:rsid w:val="0031276B"/>
    <w:rsid w:val="00341959"/>
    <w:rsid w:val="003D1A75"/>
    <w:rsid w:val="005560AE"/>
    <w:rsid w:val="00575345"/>
    <w:rsid w:val="00695198"/>
    <w:rsid w:val="006E5D94"/>
    <w:rsid w:val="00701D46"/>
    <w:rsid w:val="00774528"/>
    <w:rsid w:val="0077757F"/>
    <w:rsid w:val="007A69C8"/>
    <w:rsid w:val="007D0BAA"/>
    <w:rsid w:val="00892C96"/>
    <w:rsid w:val="008D1B41"/>
    <w:rsid w:val="008E5E9D"/>
    <w:rsid w:val="00973CDE"/>
    <w:rsid w:val="00A9634F"/>
    <w:rsid w:val="00AA2C1B"/>
    <w:rsid w:val="00AC65C1"/>
    <w:rsid w:val="00AE1E23"/>
    <w:rsid w:val="00B11AFC"/>
    <w:rsid w:val="00B34EDA"/>
    <w:rsid w:val="00B779FF"/>
    <w:rsid w:val="00C30DC2"/>
    <w:rsid w:val="00C72BD4"/>
    <w:rsid w:val="00CC0FF2"/>
    <w:rsid w:val="00D43CAE"/>
    <w:rsid w:val="00DC7DC3"/>
    <w:rsid w:val="00E13286"/>
    <w:rsid w:val="00E87420"/>
    <w:rsid w:val="00E93006"/>
    <w:rsid w:val="00EC1B3B"/>
    <w:rsid w:val="00ED4935"/>
    <w:rsid w:val="00F8711D"/>
    <w:rsid w:val="00FF4E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03C56A1"/>
  <w15:chartTrackingRefBased/>
  <w15:docId w15:val="{FBB49424-285C-4184-A7AF-1E50BFCB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1265"/>
    <w:rPr>
      <w:rFonts w:ascii="Times New Roman" w:hAnsi="Times New Roman"/>
      <w:lang w:val="id"/>
    </w:rPr>
  </w:style>
  <w:style w:type="paragraph" w:styleId="Judul1">
    <w:name w:val="heading 1"/>
    <w:basedOn w:val="Normal"/>
    <w:link w:val="Judul1KAR"/>
    <w:uiPriority w:val="1"/>
    <w:qFormat/>
    <w:rsid w:val="00071265"/>
    <w:pPr>
      <w:ind w:left="465" w:hanging="292"/>
      <w:jc w:val="both"/>
      <w:outlineLvl w:val="0"/>
    </w:pPr>
    <w:rPr>
      <w:rFonts w:eastAsia="Times New Roman" w:cs="Times New Roman"/>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TableParagraph">
    <w:name w:val="Table Paragraph"/>
    <w:basedOn w:val="Normal"/>
    <w:uiPriority w:val="1"/>
    <w:qFormat/>
    <w:rsid w:val="00071265"/>
    <w:rPr>
      <w:rFonts w:eastAsia="Times New Roman" w:cs="Times New Roman"/>
    </w:rPr>
  </w:style>
  <w:style w:type="character" w:customStyle="1" w:styleId="Judul1KAR">
    <w:name w:val="Judul 1 KAR"/>
    <w:basedOn w:val="FontParagrafDefault"/>
    <w:link w:val="Judul1"/>
    <w:uiPriority w:val="1"/>
    <w:rsid w:val="00071265"/>
    <w:rPr>
      <w:rFonts w:ascii="Times New Roman" w:eastAsia="Times New Roman" w:hAnsi="Times New Roman" w:cs="Times New Roman"/>
      <w:b/>
      <w:bCs/>
      <w:sz w:val="24"/>
      <w:szCs w:val="24"/>
      <w:lang w:val="id"/>
    </w:rPr>
  </w:style>
  <w:style w:type="paragraph" w:styleId="TeksIsi">
    <w:name w:val="Body Text"/>
    <w:basedOn w:val="Normal"/>
    <w:link w:val="TeksIsiKAR"/>
    <w:uiPriority w:val="1"/>
    <w:qFormat/>
    <w:rsid w:val="00071265"/>
    <w:rPr>
      <w:rFonts w:eastAsia="Times New Roman" w:cs="Times New Roman"/>
      <w:sz w:val="24"/>
      <w:szCs w:val="24"/>
    </w:rPr>
  </w:style>
  <w:style w:type="character" w:customStyle="1" w:styleId="TeksIsiKAR">
    <w:name w:val="Teks Isi KAR"/>
    <w:basedOn w:val="FontParagrafDefault"/>
    <w:link w:val="TeksIsi"/>
    <w:uiPriority w:val="1"/>
    <w:rsid w:val="00071265"/>
    <w:rPr>
      <w:rFonts w:ascii="Times New Roman" w:eastAsia="Times New Roman" w:hAnsi="Times New Roman" w:cs="Times New Roman"/>
      <w:sz w:val="24"/>
      <w:szCs w:val="24"/>
      <w:lang w:val="id"/>
    </w:rPr>
  </w:style>
  <w:style w:type="paragraph" w:styleId="DaftarParagraf">
    <w:name w:val="List Paragraph"/>
    <w:basedOn w:val="Normal"/>
    <w:uiPriority w:val="1"/>
    <w:qFormat/>
    <w:rsid w:val="00071265"/>
    <w:pPr>
      <w:ind w:left="697" w:hanging="263"/>
      <w:jc w:val="both"/>
    </w:pPr>
    <w:rPr>
      <w:rFonts w:eastAsia="Times New Roman" w:cs="Times New Roman"/>
    </w:rPr>
  </w:style>
  <w:style w:type="table" w:styleId="KisiTabel">
    <w:name w:val="Table Grid"/>
    <w:basedOn w:val="TabelNormal"/>
    <w:uiPriority w:val="39"/>
    <w:rsid w:val="007775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043AD8"/>
    <w:rPr>
      <w:b/>
      <w:bCs/>
    </w:rPr>
  </w:style>
  <w:style w:type="character" w:customStyle="1" w:styleId="whitespace-normal">
    <w:name w:val="whitespace-normal"/>
    <w:basedOn w:val="FontParagrafDefault"/>
    <w:rsid w:val="00043AD8"/>
  </w:style>
  <w:style w:type="paragraph" w:styleId="Header">
    <w:name w:val="header"/>
    <w:basedOn w:val="Normal"/>
    <w:link w:val="HeaderKAR"/>
    <w:uiPriority w:val="99"/>
    <w:unhideWhenUsed/>
    <w:rsid w:val="00043AD8"/>
    <w:pPr>
      <w:tabs>
        <w:tab w:val="center" w:pos="4513"/>
        <w:tab w:val="right" w:pos="9026"/>
      </w:tabs>
    </w:pPr>
  </w:style>
  <w:style w:type="character" w:customStyle="1" w:styleId="HeaderKAR">
    <w:name w:val="Header KAR"/>
    <w:basedOn w:val="FontParagrafDefault"/>
    <w:link w:val="Header"/>
    <w:uiPriority w:val="99"/>
    <w:rsid w:val="00043AD8"/>
    <w:rPr>
      <w:rFonts w:ascii="Times New Roman" w:hAnsi="Times New Roman"/>
      <w:lang w:val="id"/>
    </w:rPr>
  </w:style>
  <w:style w:type="paragraph" w:styleId="Footer">
    <w:name w:val="footer"/>
    <w:basedOn w:val="Normal"/>
    <w:link w:val="FooterKAR"/>
    <w:uiPriority w:val="99"/>
    <w:unhideWhenUsed/>
    <w:rsid w:val="00043AD8"/>
    <w:pPr>
      <w:tabs>
        <w:tab w:val="center" w:pos="4513"/>
        <w:tab w:val="right" w:pos="9026"/>
      </w:tabs>
    </w:pPr>
  </w:style>
  <w:style w:type="character" w:customStyle="1" w:styleId="FooterKAR">
    <w:name w:val="Footer KAR"/>
    <w:basedOn w:val="FontParagrafDefault"/>
    <w:link w:val="Footer"/>
    <w:uiPriority w:val="99"/>
    <w:rsid w:val="00043AD8"/>
    <w:rPr>
      <w:rFonts w:ascii="Times New Roman" w:hAnsi="Times New Roman"/>
      <w:lang w:val="id"/>
    </w:rPr>
  </w:style>
  <w:style w:type="paragraph" w:styleId="TeksCatatanKaki">
    <w:name w:val="footnote text"/>
    <w:basedOn w:val="Normal"/>
    <w:link w:val="TeksCatatanKakiKAR"/>
    <w:uiPriority w:val="99"/>
    <w:semiHidden/>
    <w:unhideWhenUsed/>
    <w:rsid w:val="00892C96"/>
    <w:rPr>
      <w:sz w:val="20"/>
      <w:szCs w:val="20"/>
    </w:rPr>
  </w:style>
  <w:style w:type="character" w:customStyle="1" w:styleId="TeksCatatanKakiKAR">
    <w:name w:val="Teks Catatan Kaki KAR"/>
    <w:basedOn w:val="FontParagrafDefault"/>
    <w:link w:val="TeksCatatanKaki"/>
    <w:uiPriority w:val="99"/>
    <w:semiHidden/>
    <w:rsid w:val="00892C96"/>
    <w:rPr>
      <w:rFonts w:ascii="Times New Roman" w:hAnsi="Times New Roman"/>
      <w:sz w:val="20"/>
      <w:szCs w:val="20"/>
      <w:lang w:val="id"/>
    </w:rPr>
  </w:style>
  <w:style w:type="character" w:styleId="ReferensiCatatanKaki">
    <w:name w:val="footnote reference"/>
    <w:basedOn w:val="FontParagrafDefault"/>
    <w:uiPriority w:val="99"/>
    <w:semiHidden/>
    <w:unhideWhenUsed/>
    <w:rsid w:val="00892C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699559">
      <w:bodyDiv w:val="1"/>
      <w:marLeft w:val="0"/>
      <w:marRight w:val="0"/>
      <w:marTop w:val="0"/>
      <w:marBottom w:val="0"/>
      <w:divBdr>
        <w:top w:val="none" w:sz="0" w:space="0" w:color="auto"/>
        <w:left w:val="none" w:sz="0" w:space="0" w:color="auto"/>
        <w:bottom w:val="none" w:sz="0" w:space="0" w:color="auto"/>
        <w:right w:val="none" w:sz="0" w:space="0" w:color="auto"/>
      </w:divBdr>
    </w:div>
    <w:div w:id="839851492">
      <w:bodyDiv w:val="1"/>
      <w:marLeft w:val="0"/>
      <w:marRight w:val="0"/>
      <w:marTop w:val="0"/>
      <w:marBottom w:val="0"/>
      <w:divBdr>
        <w:top w:val="none" w:sz="0" w:space="0" w:color="auto"/>
        <w:left w:val="none" w:sz="0" w:space="0" w:color="auto"/>
        <w:bottom w:val="none" w:sz="0" w:space="0" w:color="auto"/>
        <w:right w:val="none" w:sz="0" w:space="0" w:color="auto"/>
      </w:divBdr>
    </w:div>
    <w:div w:id="18606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2876D-2092-43D0-8EAE-9C537C8B2F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putri Isnaini</cp:lastModifiedBy>
  <cp:revision>2</cp:revision>
  <dcterms:created xsi:type="dcterms:W3CDTF">2026-04-22T13:54:00Z</dcterms:created>
  <dcterms:modified xsi:type="dcterms:W3CDTF">2026-04-22T13:54:00Z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e2611565-0d81-33f7-a38f-b9070831c1be</vt:lpwstr>
  </property>
  <property fmtid="{D5CDD505-2E9C-101B-9397-08002B2CF9AE}" pid="24" name="Mendeley Citation Style_1">
    <vt:lpwstr>http://www.zotero.org/styles/modern-humanities-research-association</vt:lpwstr>
  </property>
</Properties>
</file>