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spacing w:after="0" w:line="24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Nama: Rifta Amaliya Khoirun Nisa</w:t>
      </w:r>
    </w:p>
    <w:p>
      <w:pPr>
        <w:numPr>
          <w:ilvl w:val="0"/>
          <w:numId w:val="0"/>
        </w:numPr>
        <w:spacing w:after="0" w:line="24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Nim: 23051049</w:t>
      </w:r>
    </w:p>
    <w:p>
      <w:pPr>
        <w:numPr>
          <w:ilvl w:val="0"/>
          <w:numId w:val="0"/>
        </w:numPr>
        <w:spacing w:after="0" w:line="24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Kelas: VI B Pai</w:t>
      </w:r>
    </w:p>
    <w:p>
      <w:pPr>
        <w:numPr>
          <w:ilvl w:val="0"/>
          <w:numId w:val="0"/>
        </w:numPr>
        <w:spacing w:after="0" w:line="240" w:lineRule="auto"/>
        <w:jc w:val="both"/>
        <w:rPr>
          <w:rFonts w:hint="default" w:ascii="Times New Roman" w:hAnsi="Times New Roman"/>
          <w:b/>
          <w:bCs/>
          <w:sz w:val="24"/>
          <w:szCs w:val="24"/>
          <w:lang w:val="en-US"/>
        </w:rPr>
      </w:pPr>
    </w:p>
    <w:p>
      <w:pPr>
        <w:numPr>
          <w:ilvl w:val="0"/>
          <w:numId w:val="0"/>
        </w:numPr>
        <w:spacing w:after="0" w:line="24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Soal 1</w:t>
      </w:r>
    </w:p>
    <w:p>
      <w:pPr>
        <w:numPr>
          <w:ilvl w:val="0"/>
          <w:numId w:val="1"/>
        </w:numPr>
        <w:spacing w:after="0" w:line="240" w:lineRule="auto"/>
        <w:jc w:val="both"/>
        <w:rPr>
          <w:rFonts w:hint="default" w:ascii="Times New Roman" w:hAnsi="Times New Roman"/>
          <w:b w:val="0"/>
          <w:bCs w:val="0"/>
          <w:sz w:val="24"/>
          <w:szCs w:val="24"/>
        </w:rPr>
      </w:pPr>
      <w:r>
        <w:rPr>
          <w:rFonts w:hint="default" w:ascii="Times New Roman" w:hAnsi="Times New Roman"/>
          <w:b w:val="0"/>
          <w:bCs w:val="0"/>
          <w:sz w:val="24"/>
          <w:szCs w:val="24"/>
        </w:rPr>
        <w:t>Apa perbedaan mendasar antara kriteria yang digunakan Muhammadiyah dan NU dalam penetapan awal bulan Hijriah?</w:t>
      </w:r>
    </w:p>
    <w:p>
      <w:pPr>
        <w:spacing w:after="0" w:line="240" w:lineRule="auto"/>
        <w:jc w:val="both"/>
        <w:rPr>
          <w:rFonts w:hint="default" w:ascii="Times New Roman" w:hAnsi="Times New Roman"/>
          <w:b/>
          <w:bCs/>
          <w:sz w:val="24"/>
          <w:szCs w:val="24"/>
        </w:rPr>
      </w:pPr>
      <w:r>
        <w:rPr>
          <w:rFonts w:hint="default" w:ascii="Times New Roman" w:hAnsi="Times New Roman"/>
          <w:b/>
          <w:bCs/>
          <w:sz w:val="24"/>
          <w:szCs w:val="24"/>
        </w:rPr>
        <w:t>Jawaban:</w:t>
      </w:r>
    </w:p>
    <w:p>
      <w:pPr>
        <w:spacing w:after="0" w:line="240" w:lineRule="auto"/>
        <w:jc w:val="both"/>
        <w:rPr>
          <w:rFonts w:hint="default" w:ascii="Times New Roman" w:hAnsi="Times New Roman"/>
          <w:b w:val="0"/>
          <w:bCs w:val="0"/>
          <w:sz w:val="24"/>
          <w:szCs w:val="24"/>
        </w:rPr>
      </w:pPr>
      <w:r>
        <w:rPr>
          <w:rFonts w:hint="default" w:ascii="Times New Roman" w:hAnsi="Times New Roman"/>
          <w:b w:val="0"/>
          <w:bCs w:val="0"/>
          <w:sz w:val="24"/>
          <w:szCs w:val="24"/>
        </w:rPr>
        <w:t>Perbedaan mendasar terletak pada kriteria yang digunakan. Muhammadiyah melalui Majelis Tarjih menggunakan hisab hakiki kriteria wujudul hilal, yaitu ijtimak (konjungsi) terjadi sebelum matahari terbenam dan bulan berada di atas ufak (ketinggian ≥ 0,1°) tanpa syarat visibilitas (kemampuan melihat hilal). Sementara itu, NU melalui Lembaga Bahtsul Masail (LBM) menggunakan rukyat sebagai dasar utama dengan hisab sebagai alat bantu, serta menerapkan kriteria imkanur rukyat (tinggi hilal minimal 3° dan elongasi minimal 6,4°) sesuai standar IRNU/MABIMS.</w:t>
      </w:r>
    </w:p>
    <w:p>
      <w:pPr>
        <w:spacing w:after="0" w:line="240" w:lineRule="auto"/>
        <w:jc w:val="both"/>
        <w:rPr>
          <w:rFonts w:hint="default" w:ascii="Times New Roman" w:hAnsi="Times New Roman"/>
          <w:b w:val="0"/>
          <w:bCs w:val="0"/>
          <w:sz w:val="24"/>
          <w:szCs w:val="24"/>
        </w:rPr>
      </w:pPr>
    </w:p>
    <w:p>
      <w:pPr>
        <w:spacing w:after="0" w:line="240" w:lineRule="auto"/>
        <w:jc w:val="both"/>
        <w:rPr>
          <w:rFonts w:hint="default" w:ascii="Times New Roman" w:hAnsi="Times New Roman"/>
          <w:b/>
          <w:bCs/>
          <w:sz w:val="24"/>
          <w:szCs w:val="24"/>
          <w:lang w:val="en-US"/>
        </w:rPr>
      </w:pPr>
      <w:r>
        <w:rPr>
          <w:rFonts w:hint="default" w:ascii="Times New Roman" w:hAnsi="Times New Roman"/>
          <w:b/>
          <w:bCs/>
          <w:sz w:val="24"/>
          <w:szCs w:val="24"/>
          <w:lang w:val="en-US"/>
        </w:rPr>
        <w:t>Soal 2</w:t>
      </w:r>
    </w:p>
    <w:p>
      <w:pPr>
        <w:numPr>
          <w:ilvl w:val="0"/>
          <w:numId w:val="1"/>
        </w:numPr>
        <w:spacing w:after="0" w:line="24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Sebutkan fungsi utama dan metode istinbath yang digunakan oleh Majelis Tarjih Muhammadiyah serta Lembaga Bahtsul Masail (LBM) NU!</w:t>
      </w:r>
    </w:p>
    <w:p>
      <w:pPr>
        <w:numPr>
          <w:ilvl w:val="0"/>
          <w:numId w:val="0"/>
        </w:numPr>
        <w:spacing w:after="0" w:line="240" w:lineRule="auto"/>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Jawaban:</w:t>
      </w:r>
    </w:p>
    <w:p>
      <w:pPr>
        <w:numPr>
          <w:ilvl w:val="0"/>
          <w:numId w:val="0"/>
        </w:numPr>
        <w:spacing w:after="0" w:line="240" w:lineRule="auto"/>
        <w:ind w:left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 Majelis Tarjih Muhammadiyah (berdiri 1927) memiliki fungsi utama: tarjih, tajdid (pembaruan), penyucian ajaran, ijtihad atas masalah baru, dan koordinasi fatwa. Metode yang digunakan adalah manhaj tarjih dengan pendekatan bayani, burhani, dan irfani.</w:t>
      </w:r>
    </w:p>
    <w:p>
      <w:pPr>
        <w:numPr>
          <w:ilvl w:val="0"/>
          <w:numId w:val="0"/>
        </w:numPr>
        <w:spacing w:after="0" w:line="240" w:lineRule="auto"/>
        <w:ind w:leftChars="0"/>
        <w:jc w:val="both"/>
        <w:rPr>
          <w:rFonts w:hint="default" w:ascii="Times New Roman" w:hAnsi="Times New Roman"/>
          <w:b/>
          <w:bCs/>
          <w:sz w:val="24"/>
          <w:szCs w:val="24"/>
          <w:lang w:val="en-US"/>
        </w:rPr>
      </w:pPr>
      <w:r>
        <w:rPr>
          <w:rFonts w:hint="default" w:ascii="Times New Roman" w:hAnsi="Times New Roman"/>
          <w:b w:val="0"/>
          <w:bCs w:val="0"/>
          <w:sz w:val="24"/>
          <w:szCs w:val="24"/>
          <w:lang w:val="en-US"/>
        </w:rPr>
        <w:t>b. Lembaga Bahtsul Masail NU (resmi 1990, tradisi sejak 1926) berfungsi memberi kepastian hukum berdasarkan kitab kuning dengan berpegang pada empat mazhab (terutama Syafi’i). Metode istinbathnya meliputi qauli (mengambil pendapat mazhab), ilhaqi (menganalogikan), dan manhaji (menggunakan kaidah ushul)</w:t>
      </w:r>
      <w:r>
        <w:rPr>
          <w:rFonts w:hint="default" w:ascii="Times New Roman" w:hAnsi="Times New Roman"/>
          <w:b/>
          <w:bCs/>
          <w:sz w:val="24"/>
          <w:szCs w:val="24"/>
          <w:lang w:val="en-US"/>
        </w:rPr>
        <w:t>.</w:t>
      </w:r>
    </w:p>
    <w:p>
      <w:pPr>
        <w:numPr>
          <w:ilvl w:val="0"/>
          <w:numId w:val="0"/>
        </w:numPr>
        <w:spacing w:after="0" w:line="240" w:lineRule="auto"/>
        <w:ind w:leftChars="0"/>
        <w:jc w:val="both"/>
        <w:rPr>
          <w:rFonts w:hint="default" w:ascii="Times New Roman" w:hAnsi="Times New Roman"/>
          <w:b/>
          <w:bCs/>
          <w:sz w:val="24"/>
          <w:szCs w:val="24"/>
          <w:lang w:val="en-US"/>
        </w:rPr>
      </w:pPr>
    </w:p>
    <w:p>
      <w:pPr>
        <w:numPr>
          <w:ilvl w:val="0"/>
          <w:numId w:val="0"/>
        </w:numPr>
        <w:spacing w:after="0" w:line="240" w:lineRule="auto"/>
        <w:ind w:leftChars="0"/>
        <w:jc w:val="both"/>
        <w:rPr>
          <w:rFonts w:hint="default" w:ascii="Times New Roman" w:hAnsi="Times New Roman"/>
          <w:b/>
          <w:bCs/>
          <w:sz w:val="24"/>
          <w:szCs w:val="24"/>
          <w:lang w:val="en-US"/>
        </w:rPr>
      </w:pPr>
      <w:r>
        <w:rPr>
          <w:rFonts w:hint="default" w:ascii="Times New Roman" w:hAnsi="Times New Roman"/>
          <w:b/>
          <w:bCs/>
          <w:sz w:val="24"/>
          <w:szCs w:val="24"/>
          <w:lang w:val="en-US"/>
        </w:rPr>
        <w:t>Soal 3</w:t>
      </w:r>
    </w:p>
    <w:p>
      <w:pPr>
        <w:spacing w:after="0" w:line="240" w:lineRule="auto"/>
        <w:jc w:val="both"/>
        <w:rPr>
          <w:rFonts w:hint="default" w:ascii="Times New Roman" w:hAnsi="Times New Roman"/>
          <w:b w:val="0"/>
          <w:bCs w:val="0"/>
          <w:sz w:val="24"/>
          <w:szCs w:val="24"/>
        </w:rPr>
      </w:pPr>
      <w:r>
        <w:rPr>
          <w:rFonts w:hint="default" w:ascii="Times New Roman" w:hAnsi="Times New Roman"/>
          <w:b w:val="0"/>
          <w:bCs w:val="0"/>
          <w:sz w:val="24"/>
          <w:szCs w:val="24"/>
          <w:lang w:val="en-US"/>
        </w:rPr>
        <w:t xml:space="preserve">3. </w:t>
      </w:r>
      <w:r>
        <w:rPr>
          <w:rFonts w:hint="default" w:ascii="Times New Roman" w:hAnsi="Times New Roman"/>
          <w:b w:val="0"/>
          <w:bCs w:val="0"/>
          <w:sz w:val="24"/>
          <w:szCs w:val="24"/>
        </w:rPr>
        <w:t>Mengapa perbedaan penetapan awal bulan antara Muhammadiyah dan NU terjadi secara fundamental, dan apa harapan dari pemahaman mendalam terhadap perbedaan tersebut?</w:t>
      </w:r>
    </w:p>
    <w:p>
      <w:pPr>
        <w:spacing w:after="0" w:line="240" w:lineRule="auto"/>
        <w:jc w:val="both"/>
        <w:rPr>
          <w:rFonts w:hint="default" w:ascii="Times New Roman" w:hAnsi="Times New Roman"/>
          <w:b/>
          <w:bCs/>
          <w:sz w:val="24"/>
          <w:szCs w:val="24"/>
        </w:rPr>
      </w:pPr>
      <w:r>
        <w:rPr>
          <w:rFonts w:hint="default" w:ascii="Times New Roman" w:hAnsi="Times New Roman"/>
          <w:b/>
          <w:bCs/>
          <w:sz w:val="24"/>
          <w:szCs w:val="24"/>
        </w:rPr>
        <w:t>Jawaban:</w:t>
      </w:r>
    </w:p>
    <w:p>
      <w:pPr>
        <w:spacing w:after="0"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rPr>
        <w:t>Perbedaan fundamental terjadi karena pemahaman dalil yang berbeda. Muhammadiyah menilai hisab yang akurat secara ilmiah telah mencapai derajat qath’i (pasti) sehingga lebih utama daripada rukyat yang bersifat zhanni (dugaan). Sebaliknya, NU memandang perintah tekstual "faṣūmū li ru’yatihī" (berpuasalah karena melihat hilal) tetap wajib diamalkan meskipun hisab dapat membantu. Harapan dari pemahaman mendalam terhadap perbedaan ini adalah menumbuhkan sikap saling hormat antarkelompok serta membuka peluang konvergensi metodologi demi kesatuan umat, sehingga perbedaan tersebut menjadi kekayaan khazanah ijtihad yang tidak mengganggu kerukunan</w:t>
      </w:r>
      <w:r>
        <w:rPr>
          <w:rFonts w:hint="default" w:ascii="Times New Roman" w:hAnsi="Times New Roman"/>
          <w:b w:val="0"/>
          <w:bCs w:val="0"/>
          <w:sz w:val="24"/>
          <w:szCs w:val="24"/>
          <w:lang w:val="en-US"/>
        </w:rPr>
        <w:t>.</w:t>
      </w:r>
    </w:p>
    <w:p>
      <w:pPr>
        <w:spacing w:after="0" w:line="240" w:lineRule="auto"/>
        <w:jc w:val="both"/>
        <w:rPr>
          <w:rFonts w:ascii="Times New Roman" w:hAnsi="Times New Roman" w:cs="Times New Roman"/>
          <w:b/>
          <w:bCs/>
          <w:sz w:val="28"/>
          <w:szCs w:val="28"/>
        </w:rPr>
      </w:pPr>
    </w:p>
    <w:p>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PERBANDINGAN ANTARA MAJLIS TARJIH DAN</w:t>
      </w:r>
      <w:r>
        <w:rPr>
          <w:rFonts w:hint="default" w:ascii="Times New Roman" w:hAnsi="Times New Roman" w:cs="Times New Roman"/>
          <w:b/>
          <w:bCs/>
          <w:sz w:val="28"/>
          <w:szCs w:val="28"/>
          <w:lang w:val="en-US"/>
        </w:rPr>
        <w:t xml:space="preserve"> </w:t>
      </w:r>
      <w:r>
        <w:rPr>
          <w:rFonts w:ascii="Times New Roman" w:hAnsi="Times New Roman" w:cs="Times New Roman"/>
          <w:b/>
          <w:bCs/>
          <w:sz w:val="28"/>
          <w:szCs w:val="28"/>
        </w:rPr>
        <w:t>LEMBAGA BAHSUL MASAIL NAHDHATUL ULAMA TENTANG PENETAPAN AWAL BULAN</w:t>
      </w:r>
    </w:p>
    <w:p>
      <w:pPr>
        <w:spacing w:after="0" w:line="240" w:lineRule="auto"/>
        <w:jc w:val="both"/>
        <w:rPr>
          <w:rFonts w:ascii="Times New Roman" w:hAnsi="Times New Roman" w:cs="Times New Roman"/>
          <w:b/>
          <w:bCs/>
          <w:sz w:val="28"/>
          <w:szCs w:val="28"/>
        </w:rPr>
      </w:pPr>
    </w:p>
    <w:p>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Pendahuluan </w:t>
      </w:r>
    </w:p>
    <w:p>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Penetapan awal bulan Hijriah adalah praktik keagamaan umat Islam karena berkaitan langsung dengan pelaksanaan ibadah-ibadah pokok seperti puasa, hari raya, dan haji </w:t>
      </w:r>
      <w:r>
        <w:rPr>
          <w:rStyle w:val="4"/>
          <w:rFonts w:ascii="Times New Roman" w:hAnsi="Times New Roman" w:cs="Times New Roman"/>
          <w:sz w:val="24"/>
          <w:szCs w:val="24"/>
        </w:rPr>
        <w:footnoteReference w:id="0"/>
      </w:r>
      <w:r>
        <w:rPr>
          <w:rFonts w:ascii="Times New Roman" w:hAnsi="Times New Roman" w:cs="Times New Roman"/>
          <w:sz w:val="24"/>
          <w:szCs w:val="24"/>
        </w:rPr>
        <w:t xml:space="preserve">. Perbedaan penetapan awal bulan antara Muhammadiyah dan NU bukan sekadar persoalan teknis astronomis, melainkan berakar pada perbedaan metode ijtihad masing-masing lembaga fatwa </w:t>
      </w:r>
      <w:r>
        <w:rPr>
          <w:rStyle w:val="4"/>
          <w:rFonts w:ascii="Times New Roman" w:hAnsi="Times New Roman" w:cs="Times New Roman"/>
          <w:sz w:val="24"/>
          <w:szCs w:val="24"/>
        </w:rPr>
        <w:footnoteReference w:id="1"/>
      </w:r>
      <w:r>
        <w:rPr>
          <w:rFonts w:ascii="Times New Roman" w:hAnsi="Times New Roman" w:cs="Times New Roman"/>
          <w:sz w:val="24"/>
          <w:szCs w:val="24"/>
        </w:rPr>
        <w:t xml:space="preserve">. Fenomena yang berlangsung puluhan tahun ini kerap menimbulkan kebingungan umat, terutama pada momentum ibadah penting. Perbedaan tersebut justru menjadi kekayaan khazanah ijtihad asalkan dipahami secara komprehensif agar tidak mengganggu kerukunan </w:t>
      </w:r>
      <w:r>
        <w:rPr>
          <w:rStyle w:val="4"/>
          <w:rFonts w:ascii="Times New Roman" w:hAnsi="Times New Roman" w:cs="Times New Roman"/>
          <w:sz w:val="24"/>
          <w:szCs w:val="24"/>
        </w:rPr>
        <w:footnoteReference w:id="2"/>
      </w:r>
      <w:r>
        <w:rPr>
          <w:rFonts w:ascii="Times New Roman" w:hAnsi="Times New Roman" w:cs="Times New Roman"/>
          <w:sz w:val="24"/>
          <w:szCs w:val="24"/>
        </w:rPr>
        <w:t>.</w:t>
      </w:r>
    </w:p>
    <w:p>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Muhammadiyah melalui Majelis Tarjih dan Tajdid lahir tahun 1927 di Pekalongan bertugas membersihkan praktik taklid buta, bid'ah, dan khurafat serta melakukan pembaruan pemikiran keagamaan </w:t>
      </w:r>
      <w:r>
        <w:rPr>
          <w:rStyle w:val="4"/>
          <w:rFonts w:ascii="Times New Roman" w:hAnsi="Times New Roman" w:cs="Times New Roman"/>
          <w:sz w:val="24"/>
          <w:szCs w:val="24"/>
        </w:rPr>
        <w:footnoteReference w:id="3"/>
      </w:r>
      <w:r>
        <w:rPr>
          <w:rFonts w:ascii="Times New Roman" w:hAnsi="Times New Roman" w:cs="Times New Roman"/>
          <w:sz w:val="24"/>
          <w:szCs w:val="24"/>
        </w:rPr>
        <w:t>. Fungsi utamanya meliputi tarjih, tajdid, penyucian ajaran, ijtihad atas masalah baru, dan koordinasi fatwa. Pendekatan yang digunakan adalah manhaj tarjih dengan metode bayani, burhani, dan irfani. Majelis Tarjih menggunakan hisab hakiki kriteria wujudul hilal: ijtimak sebelum matahari terbenam dan bulan di atas ufuk (≥0,1°) tanpa syarat visibilitas, karena hisab dianggap qath’i (pasti).</w:t>
      </w:r>
    </w:p>
    <w:p>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Nahdlatul Ulama memiliki Lembaga Bahtsul Masail (LBM) yang dibentuk resmi tahun 1990, meskipun tradisi bahtsul masail telah berlangsung sejak Kongres I NU 1926 </w:t>
      </w:r>
      <w:r>
        <w:rPr>
          <w:rStyle w:val="4"/>
          <w:rFonts w:ascii="Times New Roman" w:hAnsi="Times New Roman" w:cs="Times New Roman"/>
          <w:sz w:val="24"/>
          <w:szCs w:val="24"/>
        </w:rPr>
        <w:footnoteReference w:id="4"/>
      </w:r>
      <w:r>
        <w:rPr>
          <w:rFonts w:ascii="Times New Roman" w:hAnsi="Times New Roman" w:cs="Times New Roman"/>
          <w:sz w:val="24"/>
          <w:szCs w:val="24"/>
        </w:rPr>
        <w:t>. LBM berfungsi memberi kepastian hukum berdasarkan kitab kuning dengan berpegang pada empat mazhab, terutama Syafi’i. Metode istinbath yang digunakan meliputi qauli, ilhaqi, dan manhaji. NU menjadikan rukyat sebagai dasar utama dengan hisab sebagai alat bantu, serta menerapkan kriteria imkanur rukyat (tinggi hilal ≥3° dan elongasi ≥6,4°) sesuai standar IRNU/MABIMS.</w:t>
      </w:r>
    </w:p>
    <w:p>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Perbedaan kriteria wujudul hilal (Muhammadiyah) dan imkanur rukyat (NU) sering menyebabkan perbedaan penetapan awal Ramadhan dan Syawal. Akar fundamentalnya terletak pada pemahaman dalil: Muhammadiyah menilai hisab yang akurat secara ilmiah telah mencapai derajat qath’i sehingga lebih utama daripada rukyat yang zhanni, sementara NU memandang perintah tekstual "faṣūmū li ru’yatihī" tetap harus diamalkan meskipun hisab dapat membantu </w:t>
      </w:r>
      <w:r>
        <w:rPr>
          <w:rStyle w:val="4"/>
          <w:rFonts w:ascii="Times New Roman" w:hAnsi="Times New Roman" w:cs="Times New Roman"/>
          <w:sz w:val="24"/>
          <w:szCs w:val="24"/>
        </w:rPr>
        <w:footnoteReference w:id="5"/>
      </w:r>
      <w:r>
        <w:rPr>
          <w:rFonts w:ascii="Times New Roman" w:hAnsi="Times New Roman" w:cs="Times New Roman"/>
          <w:sz w:val="24"/>
          <w:szCs w:val="24"/>
        </w:rPr>
        <w:t>. Pemahaman mendalam terhadap perbedaan ini diharapkan menumbuhkan sikap saling hormat dan membuka peluang konvergensi metodologi demi kesatuan umat.</w:t>
      </w:r>
    </w:p>
    <w:p>
      <w:pPr>
        <w:spacing w:after="0" w:line="360" w:lineRule="auto"/>
        <w:ind w:firstLine="720"/>
        <w:jc w:val="both"/>
        <w:rPr>
          <w:rFonts w:ascii="Times New Roman" w:hAnsi="Times New Roman" w:cs="Times New Roman"/>
          <w:sz w:val="24"/>
          <w:szCs w:val="24"/>
        </w:rPr>
      </w:pPr>
    </w:p>
    <w:p>
      <w:pPr>
        <w:spacing w:after="0" w:line="360" w:lineRule="auto"/>
        <w:jc w:val="both"/>
        <w:rPr>
          <w:rFonts w:ascii="Times New Roman" w:hAnsi="Times New Roman" w:cs="Times New Roman"/>
          <w:b/>
          <w:bCs/>
          <w:sz w:val="24"/>
          <w:szCs w:val="24"/>
        </w:rPr>
      </w:pPr>
    </w:p>
    <w:p>
      <w:pPr>
        <w:spacing w:after="0" w:line="360" w:lineRule="auto"/>
        <w:jc w:val="both"/>
        <w:rPr>
          <w:rFonts w:ascii="Times New Roman" w:hAnsi="Times New Roman" w:cs="Times New Roman"/>
          <w:b/>
          <w:bCs/>
          <w:sz w:val="24"/>
          <w:szCs w:val="24"/>
        </w:rPr>
      </w:pPr>
    </w:p>
    <w:p>
      <w:pPr>
        <w:spacing w:after="0" w:line="360" w:lineRule="auto"/>
        <w:jc w:val="both"/>
        <w:rPr>
          <w:rFonts w:ascii="Times New Roman" w:hAnsi="Times New Roman" w:cs="Times New Roman"/>
          <w:b/>
          <w:bCs/>
          <w:sz w:val="24"/>
          <w:szCs w:val="24"/>
        </w:rPr>
      </w:pPr>
    </w:p>
    <w:p>
      <w:pPr>
        <w:spacing w:after="0" w:line="360" w:lineRule="auto"/>
        <w:jc w:val="both"/>
        <w:rPr>
          <w:rFonts w:ascii="Times New Roman" w:hAnsi="Times New Roman" w:cs="Times New Roman"/>
          <w:b/>
          <w:bCs/>
          <w:sz w:val="24"/>
          <w:szCs w:val="24"/>
        </w:rPr>
      </w:pPr>
    </w:p>
    <w:p>
      <w:pPr>
        <w:spacing w:after="0" w:line="360" w:lineRule="auto"/>
        <w:jc w:val="both"/>
        <w:rPr>
          <w:rFonts w:ascii="Times New Roman" w:hAnsi="Times New Roman" w:cs="Times New Roman"/>
          <w:b/>
          <w:bCs/>
          <w:sz w:val="24"/>
          <w:szCs w:val="24"/>
        </w:rPr>
      </w:pPr>
    </w:p>
    <w:p>
      <w:pPr>
        <w:spacing w:after="0" w:line="360" w:lineRule="auto"/>
        <w:jc w:val="both"/>
        <w:rPr>
          <w:rFonts w:ascii="Times New Roman" w:hAnsi="Times New Roman" w:cs="Times New Roman"/>
          <w:b/>
          <w:bCs/>
          <w:sz w:val="24"/>
          <w:szCs w:val="24"/>
        </w:rPr>
      </w:pPr>
    </w:p>
    <w:p>
      <w:pPr>
        <w:spacing w:after="0" w:line="360" w:lineRule="auto"/>
        <w:jc w:val="both"/>
        <w:rPr>
          <w:rFonts w:ascii="Times New Roman" w:hAnsi="Times New Roman" w:cs="Times New Roman"/>
          <w:b/>
          <w:bCs/>
          <w:sz w:val="24"/>
          <w:szCs w:val="24"/>
        </w:rPr>
      </w:pPr>
    </w:p>
    <w:p>
      <w:pPr>
        <w:spacing w:after="0" w:line="360" w:lineRule="auto"/>
        <w:jc w:val="both"/>
        <w:rPr>
          <w:rFonts w:ascii="Times New Roman" w:hAnsi="Times New Roman" w:cs="Times New Roman"/>
          <w:b/>
          <w:bCs/>
          <w:sz w:val="24"/>
          <w:szCs w:val="24"/>
        </w:rPr>
      </w:pPr>
    </w:p>
    <w:p>
      <w:pPr>
        <w:spacing w:after="0" w:line="360" w:lineRule="auto"/>
        <w:jc w:val="both"/>
        <w:rPr>
          <w:rFonts w:ascii="Times New Roman" w:hAnsi="Times New Roman" w:cs="Times New Roman"/>
          <w:b/>
          <w:bCs/>
          <w:sz w:val="24"/>
          <w:szCs w:val="24"/>
        </w:rPr>
      </w:pPr>
    </w:p>
    <w:p>
      <w:pPr>
        <w:spacing w:after="0" w:line="360" w:lineRule="auto"/>
        <w:jc w:val="both"/>
        <w:rPr>
          <w:rFonts w:ascii="Times New Roman" w:hAnsi="Times New Roman" w:cs="Times New Roman"/>
          <w:b/>
          <w:bCs/>
          <w:sz w:val="24"/>
          <w:szCs w:val="24"/>
        </w:rPr>
      </w:pPr>
    </w:p>
    <w:p>
      <w:pPr>
        <w:spacing w:after="0" w:line="360" w:lineRule="auto"/>
        <w:jc w:val="both"/>
        <w:rPr>
          <w:rFonts w:ascii="Times New Roman" w:hAnsi="Times New Roman" w:cs="Times New Roman"/>
          <w:b/>
          <w:bCs/>
          <w:sz w:val="24"/>
          <w:szCs w:val="24"/>
        </w:rPr>
      </w:pPr>
    </w:p>
    <w:p>
      <w:pPr>
        <w:spacing w:after="0" w:line="360" w:lineRule="auto"/>
        <w:jc w:val="both"/>
        <w:rPr>
          <w:rFonts w:ascii="Times New Roman" w:hAnsi="Times New Roman" w:cs="Times New Roman"/>
          <w:b/>
          <w:bCs/>
          <w:sz w:val="24"/>
          <w:szCs w:val="24"/>
        </w:rPr>
      </w:pPr>
    </w:p>
    <w:p>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Hasil dan Pembahasan</w:t>
      </w:r>
    </w:p>
    <w:p>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Perbedaan Metode Lembaga Bahtsul Masail Nahdlatul Ulama</w:t>
      </w:r>
      <w:r>
        <w:rPr>
          <w:rFonts w:hint="default" w:ascii="Times New Roman" w:hAnsi="Times New Roman" w:cs="Times New Roman"/>
          <w:b/>
          <w:bCs/>
          <w:sz w:val="24"/>
          <w:szCs w:val="24"/>
          <w:lang w:val="en-US"/>
        </w:rPr>
        <w:t xml:space="preserve"> </w:t>
      </w:r>
      <w:r>
        <w:rPr>
          <w:rFonts w:ascii="Times New Roman" w:hAnsi="Times New Roman" w:cs="Times New Roman"/>
          <w:b/>
          <w:bCs/>
          <w:sz w:val="24"/>
          <w:szCs w:val="24"/>
        </w:rPr>
        <w:t>dan Majelis Tarjih dalam Menentukan Awal Bulan serta Ulama yang Memakai Metode yang Sama</w:t>
      </w:r>
    </w:p>
    <w:p>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Perbedaan fundamental antara LBM NU dan Majelis Tarjih terletak pada metode penetapan awal bulan. LBM NU menjadikan rukyat sebagai dasar utama dengan hisab berfungsi sebagai alat bantu verifikasi keputusan akhir bergantung pada hasil pengamatan langsung atau istikmal jika rukyat gagal. Majelis Tarjih menggunakan hisab dengan kriteria wujudul hilal, di mana awal bulan ditetapkan berdasarkan tiga syarat kumulatif </w:t>
      </w:r>
      <w:r>
        <w:rPr>
          <w:rStyle w:val="4"/>
          <w:rFonts w:ascii="Times New Roman" w:hAnsi="Times New Roman" w:cs="Times New Roman"/>
          <w:sz w:val="24"/>
          <w:szCs w:val="24"/>
        </w:rPr>
        <w:footnoteReference w:id="6"/>
      </w:r>
      <w:r>
        <w:rPr>
          <w:rFonts w:ascii="Times New Roman" w:hAnsi="Times New Roman" w:cs="Times New Roman"/>
          <w:sz w:val="24"/>
          <w:szCs w:val="24"/>
        </w:rPr>
        <w:t>: terjadinya ijtimak, ijtimak sebelum matahari terbenam, dan posisi bulan di atas ufuk saat matahari terbenam, tanpa mensyaratkan visibilitas fisik. NU secara epistemologis berpegang pada zhanniyah rukyat yang didukung jumhur ulama (termasuk Imam Ar-Ramli dan Al-Khatib As-Syarbini), sementara Muhammadiyah mendasarkan pada qath’iyyah hisab sebagaimana diperkenalkan oleh Syihabuddin al-Qalyubi, diperkuat oleh Taqi al-Din al-Subki dan Yusuf al-Qardlawi, serta disistematisasikan oleh KH Muhammad Wardan Diponingrat di lingkungan Persyarikatan.</w:t>
      </w:r>
    </w:p>
    <w:p>
      <w:pPr>
        <w:spacing w:after="0" w:line="360" w:lineRule="auto"/>
        <w:ind w:firstLine="720"/>
        <w:jc w:val="both"/>
        <w:rPr>
          <w:rFonts w:ascii="Times New Roman" w:hAnsi="Times New Roman" w:cs="Times New Roman"/>
          <w:sz w:val="24"/>
          <w:szCs w:val="24"/>
        </w:rPr>
      </w:pPr>
      <w:bookmarkStart w:id="0" w:name="_GoBack"/>
      <w:bookmarkEnd w:id="0"/>
    </w:p>
    <w:p>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Persamaan Metode Lembaga Bahtsul Masail Nahdlatul Ulama dan Majelis Tarjih dalam Menentukan Awal Bulan serta Ulama yang Memakai Metode yang Sama</w:t>
      </w:r>
    </w:p>
    <w:p>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LBM NU dan Majelis Tarjih memiliki tiga kesamaan mendasar dalam penetapan awal bulan. Keduanya sama-sama menggunakan hisab, bukan sebagai pelengkap semata melainkan instrumen kunci NU memanfaatkannya untuk verifikasi pra-rukyat dan penolakan laporan yang tidak mungkin secara astronomis, sedangkan Muhammadiyah menjadikannya penentu final dengan kriteria wujudul hilal. Kedua lembaga juga sama-sama menggunakan hisab hakiki, yakni perhitungan berdasarkan peredaran faktual bulan dan bumi mengelilingi matahari, bukan hisab ‘urfi yang bersifat rata-rata. Sasaran akhir mereka pun identik: menentukan keberadaan hilal sebagai tanda bulan baru, hanya saja NU menekankan aspek visibilitas fisik (imkan rukyat) sementara Muhammadiyah menekankan eksistensi matematis di atas ufuk </w:t>
      </w:r>
      <w:r>
        <w:rPr>
          <w:rStyle w:val="4"/>
          <w:rFonts w:ascii="Times New Roman" w:hAnsi="Times New Roman" w:cs="Times New Roman"/>
          <w:sz w:val="24"/>
          <w:szCs w:val="24"/>
        </w:rPr>
        <w:footnoteReference w:id="7"/>
      </w:r>
      <w:r>
        <w:rPr>
          <w:rFonts w:ascii="Times New Roman" w:hAnsi="Times New Roman" w:cs="Times New Roman"/>
          <w:sz w:val="24"/>
          <w:szCs w:val="24"/>
        </w:rPr>
        <w:t>. Perbedaan prosedural antara LBM NU dan Majelis Tarjih tidak mengubah fakta bahwa keduanya berada dalam koridor ijtihad yang sama, bertumpu pada hisab hakiki dan dalil syar’i yang sama, serta hanya terbedakan oleh interpretasi dan parameter astronomis yang dipilih.</w:t>
      </w:r>
    </w:p>
    <w:p>
      <w:pPr>
        <w:spacing w:after="0" w:line="360" w:lineRule="auto"/>
        <w:ind w:firstLine="720"/>
        <w:jc w:val="both"/>
        <w:rPr>
          <w:rFonts w:ascii="Times New Roman" w:hAnsi="Times New Roman" w:cs="Times New Roman"/>
          <w:sz w:val="24"/>
          <w:szCs w:val="24"/>
        </w:rPr>
      </w:pPr>
    </w:p>
    <w:p>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Kesimpulan </w:t>
      </w:r>
    </w:p>
    <w:p>
      <w:pPr>
        <w:pStyle w:val="6"/>
        <w:numPr>
          <w:ilvl w:val="0"/>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LBM NU menggunakan metode rukyat (pengamatan langsung hilal) sebagai dasar utama, sedangkan Majelis Tarjih menggunakan metode hisab kriteria Wujudul Hilal (eksistensi matematis hilal di atas ufuk tanpa syarat terlihat).</w:t>
      </w:r>
    </w:p>
    <w:p>
      <w:pPr>
        <w:pStyle w:val="6"/>
        <w:numPr>
          <w:ilvl w:val="0"/>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LBM NU dan Majelis Tarjih memiliki kesamaan dalam metode hisab hakiki dan tujuan penetapan hilal, namun berbeda dalam interpretasi dan parameter yang digunakan.</w:t>
      </w:r>
    </w:p>
    <w:p>
      <w:pPr>
        <w:spacing w:line="360" w:lineRule="auto"/>
        <w:jc w:val="both"/>
        <w:rPr>
          <w:rFonts w:ascii="Times New Roman" w:hAnsi="Times New Roman" w:cs="Times New Roman"/>
          <w:sz w:val="24"/>
          <w:szCs w:val="24"/>
        </w:rPr>
      </w:pPr>
    </w:p>
    <w:p>
      <w:pPr>
        <w:spacing w:line="360" w:lineRule="auto"/>
        <w:jc w:val="both"/>
        <w:rPr>
          <w:rFonts w:ascii="Times New Roman" w:hAnsi="Times New Roman" w:cs="Times New Roman"/>
          <w:sz w:val="24"/>
          <w:szCs w:val="24"/>
        </w:rPr>
      </w:pPr>
    </w:p>
    <w:p>
      <w:pPr>
        <w:spacing w:line="360" w:lineRule="auto"/>
        <w:jc w:val="both"/>
        <w:rPr>
          <w:rFonts w:ascii="Times New Roman" w:hAnsi="Times New Roman" w:cs="Times New Roman"/>
          <w:sz w:val="24"/>
          <w:szCs w:val="24"/>
        </w:rPr>
      </w:pPr>
    </w:p>
    <w:p>
      <w:pPr>
        <w:spacing w:line="360" w:lineRule="auto"/>
        <w:jc w:val="both"/>
        <w:rPr>
          <w:rFonts w:ascii="Times New Roman" w:hAnsi="Times New Roman" w:cs="Times New Roman"/>
          <w:sz w:val="24"/>
          <w:szCs w:val="24"/>
        </w:rPr>
      </w:pPr>
    </w:p>
    <w:p>
      <w:pPr>
        <w:spacing w:line="360" w:lineRule="auto"/>
        <w:jc w:val="both"/>
        <w:rPr>
          <w:rFonts w:ascii="Times New Roman" w:hAnsi="Times New Roman" w:cs="Times New Roman"/>
          <w:sz w:val="24"/>
          <w:szCs w:val="24"/>
        </w:rPr>
      </w:pPr>
    </w:p>
    <w:p>
      <w:pPr>
        <w:spacing w:line="360" w:lineRule="auto"/>
        <w:jc w:val="both"/>
        <w:rPr>
          <w:rFonts w:ascii="Times New Roman" w:hAnsi="Times New Roman" w:cs="Times New Roman"/>
          <w:sz w:val="24"/>
          <w:szCs w:val="24"/>
        </w:rPr>
      </w:pPr>
    </w:p>
    <w:p>
      <w:pPr>
        <w:spacing w:line="360" w:lineRule="auto"/>
        <w:jc w:val="both"/>
        <w:rPr>
          <w:rFonts w:ascii="Times New Roman" w:hAnsi="Times New Roman" w:cs="Times New Roman"/>
          <w:sz w:val="24"/>
          <w:szCs w:val="24"/>
        </w:rPr>
      </w:pPr>
    </w:p>
    <w:p>
      <w:pPr>
        <w:spacing w:line="360" w:lineRule="auto"/>
        <w:jc w:val="both"/>
        <w:rPr>
          <w:rFonts w:ascii="Times New Roman" w:hAnsi="Times New Roman" w:cs="Times New Roman"/>
          <w:sz w:val="24"/>
          <w:szCs w:val="24"/>
        </w:rPr>
      </w:pPr>
    </w:p>
    <w:p>
      <w:pPr>
        <w:spacing w:line="360" w:lineRule="auto"/>
        <w:jc w:val="both"/>
        <w:rPr>
          <w:rFonts w:ascii="Times New Roman" w:hAnsi="Times New Roman" w:cs="Times New Roman"/>
          <w:sz w:val="24"/>
          <w:szCs w:val="24"/>
        </w:rPr>
      </w:pPr>
    </w:p>
    <w:p>
      <w:pPr>
        <w:spacing w:line="360" w:lineRule="auto"/>
        <w:jc w:val="both"/>
        <w:rPr>
          <w:rFonts w:ascii="Times New Roman" w:hAnsi="Times New Roman" w:cs="Times New Roman"/>
          <w:sz w:val="24"/>
          <w:szCs w:val="24"/>
        </w:rPr>
      </w:pPr>
    </w:p>
    <w:p>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Daftar Pustaka</w:t>
      </w:r>
    </w:p>
    <w:p>
      <w:pPr>
        <w:widowControl w:val="0"/>
        <w:autoSpaceDE w:val="0"/>
        <w:autoSpaceDN w:val="0"/>
        <w:adjustRightInd w:val="0"/>
        <w:spacing w:after="0" w:line="360" w:lineRule="auto"/>
        <w:ind w:left="480" w:hanging="480"/>
        <w:jc w:val="both"/>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Atmanto, Nugroho Eko. “Implementasi Matlak Wilayatul Ḥukmi Dalam Penentuan Awal Bulan Kamariah (Perspektif Nahdlatul Ulama Dan Muhammadiyah).” </w:t>
      </w:r>
      <w:r>
        <w:rPr>
          <w:rFonts w:ascii="Times New Roman" w:hAnsi="Times New Roman" w:cs="Times New Roman"/>
          <w:i/>
          <w:iCs/>
          <w:sz w:val="24"/>
          <w:szCs w:val="24"/>
        </w:rPr>
        <w:t>ELFALAKY: Jurnal Ilmu Falak</w:t>
      </w:r>
      <w:r>
        <w:rPr>
          <w:rFonts w:ascii="Times New Roman" w:hAnsi="Times New Roman" w:cs="Times New Roman"/>
          <w:sz w:val="24"/>
          <w:szCs w:val="24"/>
        </w:rPr>
        <w:t xml:space="preserve"> 1, no. 1 (2025): 45–60. https://doi.org/10.24252/ifk.v1i1.3676.</w:t>
      </w:r>
    </w:p>
    <w:p>
      <w:pPr>
        <w:widowControl w:val="0"/>
        <w:autoSpaceDE w:val="0"/>
        <w:autoSpaceDN w:val="0"/>
        <w:adjustRightInd w:val="0"/>
        <w:spacing w:after="0" w:line="36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Fauzan, Ahmad, Annisa Khalawatul Zakiah, Annisa Mumtaza, Dian Rizka Hakiki, Fadiyah Septi Alfiyahni, and Ihsanul Amin. “Penetapan Awal Bulan Hijriyah Dan Integrasinya Dengan Perhitungan Matematika.” </w:t>
      </w:r>
      <w:r>
        <w:rPr>
          <w:rFonts w:ascii="Times New Roman" w:hAnsi="Times New Roman" w:cs="Times New Roman"/>
          <w:i/>
          <w:iCs/>
          <w:sz w:val="24"/>
          <w:szCs w:val="24"/>
        </w:rPr>
        <w:t>Jurnal Religion: Jurnal Agama, Sosial, Dan Budaya</w:t>
      </w:r>
      <w:r>
        <w:rPr>
          <w:rFonts w:ascii="Times New Roman" w:hAnsi="Times New Roman" w:cs="Times New Roman"/>
          <w:sz w:val="24"/>
          <w:szCs w:val="24"/>
        </w:rPr>
        <w:t xml:space="preserve"> 1, no. 1 (2023): 107–30. https://doi.org/10.55606/religion.v1i1.58.</w:t>
      </w:r>
    </w:p>
    <w:p>
      <w:pPr>
        <w:widowControl w:val="0"/>
        <w:autoSpaceDE w:val="0"/>
        <w:autoSpaceDN w:val="0"/>
        <w:adjustRightInd w:val="0"/>
        <w:spacing w:after="0" w:line="36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Imron, M. Ali, M. Fadhil Akbar, Nurul Fitria, and Agus Rifki Ridwan. “Korelasi Nahdlatul Ulama (NU) Dan Muhammadiyah.” </w:t>
      </w:r>
      <w:r>
        <w:rPr>
          <w:rFonts w:ascii="Times New Roman" w:hAnsi="Times New Roman" w:cs="Times New Roman"/>
          <w:i/>
          <w:iCs/>
          <w:sz w:val="24"/>
          <w:szCs w:val="24"/>
        </w:rPr>
        <w:t>Tabsyir: Jurnal Dakwah Dan Sosial Humaniora</w:t>
      </w:r>
      <w:r>
        <w:rPr>
          <w:rFonts w:ascii="Times New Roman" w:hAnsi="Times New Roman" w:cs="Times New Roman"/>
          <w:sz w:val="24"/>
          <w:szCs w:val="24"/>
        </w:rPr>
        <w:t xml:space="preserve"> 6, no. 1 (2025): 170–86. https://doi.org/10.59059/tabsyir.v6i1.1904.</w:t>
      </w:r>
    </w:p>
    <w:p>
      <w:pPr>
        <w:widowControl w:val="0"/>
        <w:autoSpaceDE w:val="0"/>
        <w:autoSpaceDN w:val="0"/>
        <w:adjustRightInd w:val="0"/>
        <w:spacing w:after="0" w:line="36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Indraerawati, Kurniati, and Abd Rahman. “Kontribusi Muhammadiyah Dan Nahdatul Ulama Dalam Bidang Politik, Pendidikan Dan Sosial Budaya Dalam Pengembangan Dan Penerapan Hukum Islam Di Indonesia.” </w:t>
      </w:r>
      <w:r>
        <w:rPr>
          <w:rFonts w:ascii="Times New Roman" w:hAnsi="Times New Roman" w:cs="Times New Roman"/>
          <w:i/>
          <w:iCs/>
          <w:sz w:val="24"/>
          <w:szCs w:val="24"/>
        </w:rPr>
        <w:t>Al-Ubudiyah: Jurnal Pendidikan Dan Studi Islam</w:t>
      </w:r>
      <w:r>
        <w:rPr>
          <w:rFonts w:ascii="Times New Roman" w:hAnsi="Times New Roman" w:cs="Times New Roman"/>
          <w:sz w:val="24"/>
          <w:szCs w:val="24"/>
        </w:rPr>
        <w:t xml:space="preserve"> 4, no. 2 (2023): 1–7. https://doi.org/10.55623/au.v4i2.207.</w:t>
      </w:r>
    </w:p>
    <w:p>
      <w:pPr>
        <w:widowControl w:val="0"/>
        <w:autoSpaceDE w:val="0"/>
        <w:autoSpaceDN w:val="0"/>
        <w:adjustRightInd w:val="0"/>
        <w:spacing w:after="0" w:line="36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Qulub, Siti Tatmainul, and Nor Afifatur Rochmah. “Pergeseran Paradigma Dalam Metode Penentuan Awal Bulan Hijriah Di Malaysia.” </w:t>
      </w:r>
      <w:r>
        <w:rPr>
          <w:rFonts w:ascii="Times New Roman" w:hAnsi="Times New Roman" w:cs="Times New Roman"/>
          <w:i/>
          <w:iCs/>
          <w:sz w:val="24"/>
          <w:szCs w:val="24"/>
        </w:rPr>
        <w:t>Al-Qānūn: Jurnal Pemikiran Dan Pembaharuan Hukum Islam</w:t>
      </w:r>
      <w:r>
        <w:rPr>
          <w:rFonts w:ascii="Times New Roman" w:hAnsi="Times New Roman" w:cs="Times New Roman"/>
          <w:sz w:val="24"/>
          <w:szCs w:val="24"/>
        </w:rPr>
        <w:t xml:space="preserve"> 28, no. 2 (2025): 5–10.</w:t>
      </w:r>
    </w:p>
    <w:p>
      <w:pPr>
        <w:widowControl w:val="0"/>
        <w:autoSpaceDE w:val="0"/>
        <w:autoSpaceDN w:val="0"/>
        <w:adjustRightInd w:val="0"/>
        <w:spacing w:after="0" w:line="36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Rahmadinur, Wisda, and Leo Dwi Cahyono. “Studi Komperatif Antara Nadhatul Ulama Dan Muhammadiyah Di Indonesia Dalam Pengamalan Hukum Awal Waktu Puasa.” </w:t>
      </w:r>
      <w:r>
        <w:rPr>
          <w:rFonts w:ascii="Times New Roman" w:hAnsi="Times New Roman" w:cs="Times New Roman"/>
          <w:i/>
          <w:iCs/>
          <w:sz w:val="24"/>
          <w:szCs w:val="24"/>
        </w:rPr>
        <w:t>Moefty: Jurnal Perbandingan Mazhab Dan Hukum</w:t>
      </w:r>
      <w:r>
        <w:rPr>
          <w:rFonts w:ascii="Times New Roman" w:hAnsi="Times New Roman" w:cs="Times New Roman"/>
          <w:sz w:val="24"/>
          <w:szCs w:val="24"/>
        </w:rPr>
        <w:t xml:space="preserve"> 12, no. 2 (2023): 33–44.</w:t>
      </w:r>
    </w:p>
    <w:p>
      <w:pPr>
        <w:widowControl w:val="0"/>
        <w:autoSpaceDE w:val="0"/>
        <w:autoSpaceDN w:val="0"/>
        <w:adjustRightInd w:val="0"/>
        <w:spacing w:after="0" w:line="360" w:lineRule="auto"/>
        <w:ind w:left="480" w:hanging="480"/>
        <w:jc w:val="both"/>
        <w:rPr>
          <w:rFonts w:ascii="Times New Roman" w:hAnsi="Times New Roman" w:cs="Times New Roman"/>
          <w:sz w:val="24"/>
          <w:szCs w:val="24"/>
        </w:rPr>
      </w:pPr>
      <w:r>
        <w:rPr>
          <w:rFonts w:ascii="Times New Roman" w:hAnsi="Times New Roman" w:cs="Times New Roman"/>
          <w:sz w:val="24"/>
          <w:szCs w:val="24"/>
        </w:rPr>
        <w:t xml:space="preserve">Ritonga, Marataon, Arwin Juli Rakhmadi, Muhammad Hidayat, and Hariyadi Putraga. “Hisab-Rukyat Transformation Of Hijri Month Begining Determenation In Muhammadiyah.” </w:t>
      </w:r>
      <w:r>
        <w:rPr>
          <w:rFonts w:ascii="Times New Roman" w:hAnsi="Times New Roman" w:cs="Times New Roman"/>
          <w:i/>
          <w:iCs/>
          <w:sz w:val="24"/>
          <w:szCs w:val="24"/>
        </w:rPr>
        <w:t>Al-Hikmah: Jurnal Agama Dan Ilmu Pengetahuan</w:t>
      </w:r>
      <w:r>
        <w:rPr>
          <w:rFonts w:ascii="Times New Roman" w:hAnsi="Times New Roman" w:cs="Times New Roman"/>
          <w:sz w:val="24"/>
          <w:szCs w:val="24"/>
        </w:rPr>
        <w:t xml:space="preserve"> 21, no. 1 (2024): 1–20.</w:t>
      </w:r>
    </w:p>
    <w:p>
      <w:pPr>
        <w:widowControl w:val="0"/>
        <w:autoSpaceDE w:val="0"/>
        <w:autoSpaceDN w:val="0"/>
        <w:adjustRightInd w:val="0"/>
        <w:spacing w:after="0" w:line="360" w:lineRule="auto"/>
        <w:ind w:left="480" w:hanging="480"/>
        <w:jc w:val="both"/>
        <w:rPr>
          <w:rFonts w:ascii="Times New Roman" w:hAnsi="Times New Roman" w:cs="Times New Roman"/>
          <w:sz w:val="24"/>
        </w:rPr>
      </w:pPr>
      <w:r>
        <w:rPr>
          <w:rFonts w:ascii="Times New Roman" w:hAnsi="Times New Roman" w:cs="Times New Roman"/>
          <w:sz w:val="24"/>
          <w:szCs w:val="24"/>
        </w:rPr>
        <w:t xml:space="preserve">Yusal, Ibban Muhammad, M. Abdul Yunus, Siti Wasilah Sani, Firdatus Sholihah, Siti Aminah, and Muhammad Nabat Ardli. “Kalender Hijriah Global Dan Pengaruhnya Terhadap Penetapan Waktu Ibadah: Pendekatan Manhaj Tarjih Muhammadiyah.” </w:t>
      </w:r>
      <w:r>
        <w:rPr>
          <w:rFonts w:ascii="Times New Roman" w:hAnsi="Times New Roman" w:cs="Times New Roman"/>
          <w:i/>
          <w:iCs/>
          <w:sz w:val="24"/>
          <w:szCs w:val="24"/>
        </w:rPr>
        <w:t>Makkah</w:t>
      </w:r>
      <w:r>
        <w:rPr>
          <w:rFonts w:ascii="Times New Roman" w:hAnsi="Times New Roman" w:cs="Times New Roman"/>
          <w:sz w:val="24"/>
          <w:szCs w:val="24"/>
        </w:rPr>
        <w:t xml:space="preserve"> 1, no. 2 (2025): 20–30.</w:t>
      </w:r>
    </w:p>
    <w:p>
      <w:pPr>
        <w:spacing w:after="0"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sectPr>
      <w:pgSz w:w="11906" w:h="16838"/>
      <w:pgMar w:top="2268" w:right="1701" w:bottom="1701" w:left="2268"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2"/>
        <w:jc w:val="both"/>
        <w:rPr>
          <w:rFonts w:ascii="Times New Roman" w:hAnsi="Times New Roman" w:cs="Times New Roman"/>
          <w:lang w:val="en-US"/>
        </w:rPr>
      </w:pPr>
      <w:r>
        <w:rPr>
          <w:rStyle w:val="4"/>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 xml:space="preserve">ADDIN CSL_CITATION {"citationItems":[{"id":"ITEM-1","itemData":{"author":[{"dropping-particle":"","family":"Rahmadinur","given":"Wisda","non-dropping-particle":"","parse-names":false,"suffix":""},{"dropping-particle":"","family":"Cahyono","given":"Leo Dwi","non-dropping-particle":"","parse-names":false,"suffix":""}],"container-title":"Moefty: Jurnal Perbandingan Mazhab dan Hukum","id":"ITEM-1","issue":"2","issued":{"date-parts":[["2023"]]},"page":"33-44","title":"Studi Komperatif Antara Nadhatul Ulama dan Muhammadiyah Di Indonesia Dalam Pengamalan Hukum Awal Waktu Puasa","type":"article-journal","volume":"12"},"uris":["http://www.mendeley.com/documents/?uuid=924065b4-9fcd-4236-9369-4e37bf2c1154"]}],"mendeley":{"formattedCitation":"Wisda Rahmadinur and Leo Dwi Cahyono, “Studi Komperatif Antara Nadhatul Ulama Dan Muhammadiyah Di Indonesia Dalam Pengamalan Hukum Awal Waktu Puasa,” &lt;i&gt;Moefty: Jurnal Perbandingan Mazhab Dan Hukum&lt;/i&gt; 12, no. 2 (2023): 33–44.","plainTextFormattedCitation":"Wisda Rahmadinur and Leo Dwi Cahyono, “Studi Komperatif Antara Nadhatul Ulama Dan Muhammadiyah Di Indonesia Dalam Pengamalan Hukum Awal Waktu Puasa,” Moefty: Jurnal Perbandingan Mazhab Dan Hukum 12, no. 2 (2023): 33–44.","previouslyFormattedCitation":"Wisda Rahmadinur and Leo Dwi Cahyono, “Studi Komperatif Antara Nadhatul Ulama Dan Muhammadiyah Di Indonesia Dalam Pengamalan Hukum Awal Waktu Puasa,” &lt;i&gt;Moefty: Jurnal Perbandingan Mazhab Dan Hukum&lt;/i&gt; 12, no. 2 (2023): 33–44."},"properties":{"noteIndex":1},"schema":"https://github.com/citation-style-language/schema/raw/master/csl-citation.json"}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 xml:space="preserve">Wisda Rahmadinur and Leo Dwi Cahyono, “Studi Komperatif Antara Nadhatul Ulama Dan Muhammadiyah Di Indonesia Dalam Pengamalan Hukum Awal Waktu Puasa,” </w:t>
      </w:r>
      <w:r>
        <w:rPr>
          <w:rFonts w:ascii="Times New Roman" w:hAnsi="Times New Roman" w:cs="Times New Roman"/>
          <w:i/>
        </w:rPr>
        <w:t>Moefty: Jurnal Perbandingan Mazhab Dan Hukum</w:t>
      </w:r>
      <w:r>
        <w:rPr>
          <w:rFonts w:ascii="Times New Roman" w:hAnsi="Times New Roman" w:cs="Times New Roman"/>
        </w:rPr>
        <w:t xml:space="preserve"> 12, no. 2 (2023): 33–44.</w:t>
      </w:r>
      <w:r>
        <w:rPr>
          <w:rFonts w:ascii="Times New Roman" w:hAnsi="Times New Roman" w:cs="Times New Roman"/>
        </w:rPr>
        <w:fldChar w:fldCharType="end"/>
      </w:r>
    </w:p>
  </w:footnote>
  <w:footnote w:id="1">
    <w:p>
      <w:pPr>
        <w:pStyle w:val="2"/>
        <w:jc w:val="both"/>
        <w:rPr>
          <w:rFonts w:ascii="Times New Roman" w:hAnsi="Times New Roman" w:cs="Times New Roman"/>
          <w:lang w:val="en-US"/>
        </w:rPr>
      </w:pPr>
      <w:r>
        <w:rPr>
          <w:rStyle w:val="4"/>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 xml:space="preserve">ADDIN CSL_CITATION {"citationItems":[{"id":"ITEM-1","itemData":{"author":[{"dropping-particle":"","family":"Ritonga","given":"Marataon","non-dropping-particle":"","parse-names":false,"suffix":""},{"dropping-particle":"","family":"Rakhmadi","given":"Arwin Juli","non-dropping-particle":"","parse-names":false,"suffix":""},{"dropping-particle":"","family":"Hidayat","given":"Muhammad","non-dropping-particle":"","parse-names":false,"suffix":""},{"dropping-particle":"","family":"Putraga","given":"Hariyadi","non-dropping-particle":"","parse-names":false,"suffix":""}],"container-title":"Al-Hikmah: Jurnal Agama dan Ilmu Pengetahuan","id":"ITEM-1","issue":"1","issued":{"date-parts":[["2024"]]},"page":"1-20","title":"Hisab-Rukyat Transformation Of Hijri Month Begining Determenation In Muhammadiyah","type":"article-journal","volume":"21"},"uris":["http://www.mendeley.com/documents/?uuid=99fc69b5-cd58-4a81-bcf2-d21dd11a836d"]}],"mendeley":{"formattedCitation":"Marataon Ritonga et al., “Hisab-Rukyat Transformation Of Hijri Month Begining Determenation In Muhammadiyah,” &lt;i&gt;Al-Hikmah: Jurnal Agama Dan Ilmu Pengetahuan&lt;/i&gt; 21, no. 1 (2024): 1–20.","plainTextFormattedCitation":"Marataon Ritonga et al., “Hisab-Rukyat Transformation Of Hijri Month Begining Determenation In Muhammadiyah,” Al-Hikmah: Jurnal Agama Dan Ilmu Pengetahuan 21, no. 1 (2024): 1–20.","previouslyFormattedCitation":"Marataon Ritonga et al., “Hisab-Rukyat Transformation Of Hijri Month Begining Determenation In Muhammadiyah,” &lt;i&gt;Al-Hikmah: Jurnal Agama Dan Ilmu Pengetahuan&lt;/i&gt; 21, no. 1 (2024): 1–20."},"properties":{"noteIndex":2},"schema":"https://github.com/citation-style-language/schema/raw/master/csl-citation.json"}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 xml:space="preserve">Marataon Ritonga et al., “Hisab-Rukyat Transformation Of Hijri Month Begining Determenation In Muhammadiyah,” </w:t>
      </w:r>
      <w:r>
        <w:rPr>
          <w:rFonts w:ascii="Times New Roman" w:hAnsi="Times New Roman" w:cs="Times New Roman"/>
          <w:i/>
        </w:rPr>
        <w:t>Al-Hikmah: Jurnal Agama Dan Ilmu Pengetahuan</w:t>
      </w:r>
      <w:r>
        <w:rPr>
          <w:rFonts w:ascii="Times New Roman" w:hAnsi="Times New Roman" w:cs="Times New Roman"/>
        </w:rPr>
        <w:t xml:space="preserve"> 21, no. 1 (2024): 1–20.</w:t>
      </w:r>
      <w:r>
        <w:rPr>
          <w:rFonts w:ascii="Times New Roman" w:hAnsi="Times New Roman" w:cs="Times New Roman"/>
        </w:rPr>
        <w:fldChar w:fldCharType="end"/>
      </w:r>
    </w:p>
  </w:footnote>
  <w:footnote w:id="2">
    <w:p>
      <w:pPr>
        <w:pStyle w:val="2"/>
        <w:jc w:val="both"/>
        <w:rPr>
          <w:rFonts w:ascii="Times New Roman" w:hAnsi="Times New Roman" w:cs="Times New Roman"/>
          <w:lang w:val="en-US"/>
        </w:rPr>
      </w:pPr>
      <w:r>
        <w:rPr>
          <w:rStyle w:val="4"/>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 xml:space="preserve">ADDIN CSL_CITATION {"citationItems":[{"id":"ITEM-1","itemData":{"DOI":"10.55623/au.v4i2.207","author":[{"dropping-particle":"","family":"Indraerawati","given":"","non-dropping-particle":"","parse-names":false,"suffix":""},{"dropping-particle":"","family":"Kurniati","given":"","non-dropping-particle":"","parse-names":false,"suffix":""},{"dropping-particle":"","family":"Rahman","given":"Abd","non-dropping-particle":"","parse-names":false,"suffix":""}],"container-title":"Al-Ubudiyah: Jurnal Pendidikan dan Studi Islam","id":"ITEM-1","issue":"2","issued":{"date-parts":[["2023"]]},"page":"1-7","title":"Kontribusi Muhammadiyah dan Nahdatul Ulama dalam Bidang Politik, Pendidikan dan Sosial Budaya dalam Pengembangan dan Penerapan Hukum Islam di Indonesia","type":"article-journal","volume":"4"},"uris":["http://www.mendeley.com/documents/?uuid=adc0464f-6233-4cf1-bac5-3817ffcb20b1"]}],"mendeley":{"formattedCitation":"Indraerawati, Kurniati, and Abd Rahman, “Kontribusi Muhammadiyah Dan Nahdatul Ulama Dalam Bidang Politik, Pendidikan Dan Sosial Budaya Dalam Pengembangan Dan Penerapan Hukum Islam Di Indonesia,” &lt;i&gt;Al-Ubudiyah: Jurnal Pendidikan Dan Studi Islam&lt;/i&gt; 4, no. 2 (2023): 1–7, https://doi.org/10.55623/au.v4i2.207.","plainTextFormattedCitation":"Indraerawati, Kurniati, and Abd Rahman, “Kontribusi Muhammadiyah Dan Nahdatul Ulama Dalam Bidang Politik, Pendidikan Dan Sosial Budaya Dalam Pengembangan Dan Penerapan Hukum Islam Di Indonesia,” Al-Ubudiyah: Jurnal Pendidikan Dan Studi Islam 4, no. 2 (2023): 1–7, https://doi.org/10.55623/au.v4i2.207.","previouslyFormattedCitation":"Indraerawati, Kurniati, and Abd Rahman, “Kontribusi Muhammadiyah Dan Nahdatul Ulama Dalam Bidang Politik, Pendidikan Dan Sosial Budaya Dalam Pengembangan Dan Penerapan Hukum Islam Di Indonesia,” &lt;i&gt;Al-Ubudiyah: Jurnal Pendidikan Dan Studi Islam&lt;/i&gt; 4, no. 2 (2023): 1–7, https://doi.org/10.55623/au.v4i2.207."},"properties":{"noteIndex":3},"schema":"https://github.com/citation-style-language/schema/raw/master/csl-citation.json"}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 xml:space="preserve">Indraerawati, Kurniati, and Abd Rahman, “Kontribusi Muhammadiyah Dan Nahdatul Ulama Dalam Bidang Politik, Pendidikan Dan Sosial Budaya Dalam Pengembangan Dan Penerapan Hukum Islam Di Indonesia,” </w:t>
      </w:r>
      <w:r>
        <w:rPr>
          <w:rFonts w:ascii="Times New Roman" w:hAnsi="Times New Roman" w:cs="Times New Roman"/>
          <w:i/>
        </w:rPr>
        <w:t>Al-Ubudiyah: Jurnal Pendidikan Dan Studi Islam</w:t>
      </w:r>
      <w:r>
        <w:rPr>
          <w:rFonts w:ascii="Times New Roman" w:hAnsi="Times New Roman" w:cs="Times New Roman"/>
        </w:rPr>
        <w:t xml:space="preserve"> 4, no. 2 (2023): 1–7, https://doi.org/10.55623/au.v4i2.207.</w:t>
      </w:r>
      <w:r>
        <w:rPr>
          <w:rFonts w:ascii="Times New Roman" w:hAnsi="Times New Roman" w:cs="Times New Roman"/>
        </w:rPr>
        <w:fldChar w:fldCharType="end"/>
      </w:r>
    </w:p>
  </w:footnote>
  <w:footnote w:id="3">
    <w:p>
      <w:pPr>
        <w:pStyle w:val="2"/>
        <w:jc w:val="both"/>
        <w:rPr>
          <w:rFonts w:ascii="Times New Roman" w:hAnsi="Times New Roman" w:cs="Times New Roman"/>
          <w:lang w:val="en-US"/>
        </w:rPr>
      </w:pPr>
      <w:r>
        <w:rPr>
          <w:rStyle w:val="4"/>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 xml:space="preserve">ADDIN CSL_CITATION {"citationItems":[{"id":"ITEM-1","itemData":{"DOI":"10.59059/tabsyir.v6i1.1904","author":[{"dropping-particle":"","family":"Imron","given":"M. Ali","non-dropping-particle":"","parse-names":false,"suffix":""},{"dropping-particle":"","family":"Akbar","given":"M. Fadhil","non-dropping-particle":"","parse-names":false,"suffix":""},{"dropping-particle":"","family":"Fitria","given":"Nurul","non-dropping-particle":"","parse-names":false,"suffix":""},{"dropping-particle":"","family":"Ridwan","given":"Agus Rifki","non-dropping-particle":"","parse-names":false,"suffix":""}],"container-title":"Tabsyir: Jurnal Dakwah dan Sosial Humaniora","id":"ITEM-1","issue":"1","issued":{"date-parts":[["2025"]]},"page":"170-186","title":"Korelasi Nahdlatul Ulama (NU) dan Muhammadiyah","type":"article-journal","volume":"6"},"uris":["http://www.mendeley.com/documents/?uuid=7b388dc0-2d91-41e1-a8ec-d3bd3b51d484"]}],"mendeley":{"formattedCitation":"M. Ali Imron et al., “Korelasi Nahdlatul Ulama (NU) Dan Muhammadiyah,” &lt;i&gt;Tabsyir: Jurnal Dakwah Dan Sosial Humaniora&lt;/i&gt; 6, no. 1 (2025): 170–86, https://doi.org/10.59059/tabsyir.v6i1.1904.","plainTextFormattedCitation":"M. Ali Imron et al., “Korelasi Nahdlatul Ulama (NU) Dan Muhammadiyah,” Tabsyir: Jurnal Dakwah Dan Sosial Humaniora 6, no. 1 (2025): 170–86, https://doi.org/10.59059/tabsyir.v6i1.1904.","previouslyFormattedCitation":"M. Ali Imron et al., “Korelasi Nahdlatul Ulama (NU) Dan Muhammadiyah,” &lt;i&gt;Tabsyir: Jurnal Dakwah Dan Sosial Humaniora&lt;/i&gt; 6, no. 1 (2025): 170–86, https://doi.org/10.59059/tabsyir.v6i1.1904."},"properties":{"noteIndex":4},"schema":"https://github.com/citation-style-language/schema/raw/master/csl-citation.json"}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 xml:space="preserve">M. Ali Imron et al., “Korelasi Nahdlatul Ulama (NU) Dan Muhammadiyah,” </w:t>
      </w:r>
      <w:r>
        <w:rPr>
          <w:rFonts w:ascii="Times New Roman" w:hAnsi="Times New Roman" w:cs="Times New Roman"/>
          <w:i/>
        </w:rPr>
        <w:t>Tabsyir: Jurnal Dakwah Dan Sosial Humaniora</w:t>
      </w:r>
      <w:r>
        <w:rPr>
          <w:rFonts w:ascii="Times New Roman" w:hAnsi="Times New Roman" w:cs="Times New Roman"/>
        </w:rPr>
        <w:t xml:space="preserve"> 6, no. 1 (2025): 170–86, https://doi.org/10.59059/tabsyir.v6i1.1904.</w:t>
      </w:r>
      <w:r>
        <w:rPr>
          <w:rFonts w:ascii="Times New Roman" w:hAnsi="Times New Roman" w:cs="Times New Roman"/>
        </w:rPr>
        <w:fldChar w:fldCharType="end"/>
      </w:r>
    </w:p>
  </w:footnote>
  <w:footnote w:id="4">
    <w:p>
      <w:pPr>
        <w:pStyle w:val="2"/>
        <w:jc w:val="both"/>
        <w:rPr>
          <w:rFonts w:ascii="Times New Roman" w:hAnsi="Times New Roman" w:cs="Times New Roman"/>
          <w:lang w:val="en-US"/>
        </w:rPr>
      </w:pPr>
      <w:r>
        <w:rPr>
          <w:rStyle w:val="4"/>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 xml:space="preserve">ADDIN CSL_CITATION {"citationItems":[{"id":"ITEM-1","itemData":{"DOI":"10.24252/ifk.v1i1.3676","author":[{"dropping-particle":"","family":"Atmanto","given":"Nugroho Eko","non-dropping-particle":"","parse-names":false,"suffix":""}],"container-title":"ELFALAKY: Jurnal Ilmu Falak","id":"ITEM-1","issue":"1","issued":{"date-parts":[["2025"]]},"page":"45-60","title":"Implementasi Matlak Wilayatul Ḥukmi Dalam Penentuan Awal Bulan Kamariah (Perspektif Nahdlatul Ulama Dan Muhammadiyah)","type":"article-journal","volume":"1"},"uris":["http://www.mendeley.com/documents/?uuid=f9e3edbc-c61e-4d03-b8ad-13b4933a7137"]}],"mendeley":{"formattedCitation":"Nugroho Eko Atmanto, “Implementasi Matlak Wilayatul Ḥukmi Dalam Penentuan Awal Bulan Kamariah (Perspektif Nahdlatul Ulama Dan Muhammadiyah),” &lt;i&gt;ELFALAKY: Jurnal Ilmu Falak&lt;/i&gt; 1, no. 1 (2025): 45–60, https://doi.org/10.24252/ifk.v1i1.3676.","plainTextFormattedCitation":"Nugroho Eko Atmanto, “Implementasi Matlak Wilayatul Ḥukmi Dalam Penentuan Awal Bulan Kamariah (Perspektif Nahdlatul Ulama Dan Muhammadiyah),” ELFALAKY: Jurnal Ilmu Falak 1, no. 1 (2025): 45–60, https://doi.org/10.24252/ifk.v1i1.3676.","previouslyFormattedCitation":"Nugroho Eko Atmanto, “Implementasi Matlak Wilayatul Ḥukmi Dalam Penentuan Awal Bulan Kamariah (Perspektif Nahdlatul Ulama Dan Muhammadiyah),” &lt;i&gt;ELFALAKY: Jurnal Ilmu Falak&lt;/i&gt; 1, no. 1 (2025): 45–60, https://doi.org/10.24252/ifk.v1i1.3676."},"properties":{"noteIndex":5},"schema":"https://github.com/citation-style-language/schema/raw/master/csl-citation.json"}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 xml:space="preserve">Nugroho Eko Atmanto, “Implementasi Matlak Wilayatul Ḥukmi Dalam Penentuan Awal Bulan Kamariah (Perspektif Nahdlatul Ulama Dan Muhammadiyah),” </w:t>
      </w:r>
      <w:r>
        <w:rPr>
          <w:rFonts w:ascii="Times New Roman" w:hAnsi="Times New Roman" w:cs="Times New Roman"/>
          <w:i/>
        </w:rPr>
        <w:t>ELFALAKY: Jurnal Ilmu Falak</w:t>
      </w:r>
      <w:r>
        <w:rPr>
          <w:rFonts w:ascii="Times New Roman" w:hAnsi="Times New Roman" w:cs="Times New Roman"/>
        </w:rPr>
        <w:t xml:space="preserve"> 1, no. 1 (2025): 45–60, https://doi.org/10.24252/ifk.v1i1.3676.</w:t>
      </w:r>
      <w:r>
        <w:rPr>
          <w:rFonts w:ascii="Times New Roman" w:hAnsi="Times New Roman" w:cs="Times New Roman"/>
        </w:rPr>
        <w:fldChar w:fldCharType="end"/>
      </w:r>
    </w:p>
  </w:footnote>
  <w:footnote w:id="5">
    <w:p>
      <w:pPr>
        <w:pStyle w:val="2"/>
        <w:jc w:val="both"/>
        <w:rPr>
          <w:rFonts w:ascii="Times New Roman" w:hAnsi="Times New Roman" w:cs="Times New Roman"/>
          <w:lang w:val="en-US"/>
        </w:rPr>
      </w:pPr>
      <w:r>
        <w:rPr>
          <w:rStyle w:val="4"/>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 xml:space="preserve">ADDIN CSL_CITATION {"citationItems":[{"id":"ITEM-1","itemData":{"DOI":"10.55606/religion.v1i1.58","author":[{"dropping-particle":"","family":"Fauzan","given":"Ahmad","non-dropping-particle":"","parse-names":false,"suffix":""},{"dropping-particle":"","family":"Zakiah","given":"Annisa Khalawatul","non-dropping-particle":"","parse-names":false,"suffix":""},{"dropping-particle":"","family":"Mumtaza","given":"Annisa","non-dropping-particle":"","parse-names":false,"suffix":""},{"dropping-particle":"","family":"Hakiki","given":"Dian Rizka","non-dropping-particle":"","parse-names":false,"suffix":""},{"dropping-particle":"","family":"Alfiyahni","given":"Fadiyah Septi","non-dropping-particle":"","parse-names":false,"suffix":""},{"dropping-particle":"","family":"Amin","given":"Ihsanul","non-dropping-particle":"","parse-names":false,"suffix":""}],"container-title":"Jurnal Religion: Jurnal Agama, Sosial, dan Budaya","id":"ITEM-1","issue":"1","issued":{"date-parts":[["2023"]]},"page":"107-130","title":"Penetapan Awal Bulan Hijriyah Dan Integrasinya Dengan Perhitungan Matematika","type":"article-journal","volume":"1"},"uris":["http://www.mendeley.com/documents/?uuid=884a7d1f-0cbc-4d51-b454-7980251527d4"]}],"mendeley":{"formattedCitation":"Ahmad Fauzan et al., “Penetapan Awal Bulan Hijriyah Dan Integrasinya Dengan Perhitungan Matematika,” &lt;i&gt;Jurnal Religion: Jurnal Agama, Sosial, Dan Budaya&lt;/i&gt; 1, no. 1 (2023): 107–30, https://doi.org/10.55606/religion.v1i1.58.","plainTextFormattedCitation":"Ahmad Fauzan et al., “Penetapan Awal Bulan Hijriyah Dan Integrasinya Dengan Perhitungan Matematika,” Jurnal Religion: Jurnal Agama, Sosial, Dan Budaya 1, no. 1 (2023): 107–30, https://doi.org/10.55606/religion.v1i1.58.","previouslyFormattedCitation":"Ahmad Fauzan et al., “Penetapan Awal Bulan Hijriyah Dan Integrasinya Dengan Perhitungan Matematika,” &lt;i&gt;Jurnal Religion: Jurnal Agama, Sosial, Dan Budaya&lt;/i&gt; 1, no. 1 (2023): 107–30, https://doi.org/10.55606/religion.v1i1.58."},"properties":{"noteIndex":6},"schema":"https://github.com/citation-style-language/schema/raw/master/csl-citation.json"}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 xml:space="preserve">Ahmad Fauzan et al., “Penetapan Awal Bulan Hijriyah Dan Integrasinya Dengan Perhitungan Matematika,” </w:t>
      </w:r>
      <w:r>
        <w:rPr>
          <w:rFonts w:ascii="Times New Roman" w:hAnsi="Times New Roman" w:cs="Times New Roman"/>
          <w:i/>
        </w:rPr>
        <w:t>Jurnal Religion: Jurnal Agama, Sosial, Dan Budaya</w:t>
      </w:r>
      <w:r>
        <w:rPr>
          <w:rFonts w:ascii="Times New Roman" w:hAnsi="Times New Roman" w:cs="Times New Roman"/>
        </w:rPr>
        <w:t xml:space="preserve"> 1, no. 1 (2023): 107–30, https://doi.org/10.55606/religion.v1i1.58.</w:t>
      </w:r>
      <w:r>
        <w:rPr>
          <w:rFonts w:ascii="Times New Roman" w:hAnsi="Times New Roman" w:cs="Times New Roman"/>
        </w:rPr>
        <w:fldChar w:fldCharType="end"/>
      </w:r>
    </w:p>
  </w:footnote>
  <w:footnote w:id="6">
    <w:p>
      <w:pPr>
        <w:pStyle w:val="2"/>
        <w:rPr>
          <w:lang w:val="en-US"/>
        </w:rPr>
      </w:pPr>
      <w:r>
        <w:rPr>
          <w:rStyle w:val="4"/>
        </w:rPr>
        <w:footnoteRef/>
      </w:r>
      <w:r>
        <w:t xml:space="preserve"> </w:t>
      </w:r>
      <w:r>
        <w:fldChar w:fldCharType="begin" w:fldLock="1"/>
      </w:r>
      <w:r>
        <w:instrText xml:space="preserve">ADDIN CSL_CITATION {"citationItems":[{"id":"ITEM-1","itemData":{"author":[{"dropping-particle":"","family":"Qulub","given":"Siti Tatmainul","non-dropping-particle":"","parse-names":false,"suffix":""},{"dropping-particle":"","family":"Rochmah","given":"Nor Afifatur","non-dropping-particle":"","parse-names":false,"suffix":""}],"container-title":"Al-Qānūn: Jurnal Pemikiran dan Pembaharuan Hukum Islam","id":"ITEM-1","issue":"2","issued":{"date-parts":[["2025"]]},"page":"5-10","title":"Pergeseran Paradigma dalam Metode Penentuan Awal Bulan Hijriah di Malaysia","type":"article-journal","volume":"28"},"uris":["http://www.mendeley.com/documents/?uuid=1ebb38b3-4509-41ba-91e1-0c691febc4f6"]}],"mendeley":{"formattedCitation":"Siti Tatmainul Qulub and Nor Afifatur Rochmah, “Pergeseran Paradigma Dalam Metode Penentuan Awal Bulan Hijriah Di Malaysia,” &lt;i&gt;Al-Qānūn: Jurnal Pemikiran Dan Pembaharuan Hukum Islam&lt;/i&gt; 28, no. 2 (2025): 5–10.","plainTextFormattedCitation":"Siti Tatmainul Qulub and Nor Afifatur Rochmah, “Pergeseran Paradigma Dalam Metode Penentuan Awal Bulan Hijriah Di Malaysia,” Al-Qānūn: Jurnal Pemikiran Dan Pembaharuan Hukum Islam 28, no. 2 (2025): 5–10."},"properties":{"noteIndex":7},"schema":"https://github.com/citation-style-language/schema/raw/master/csl-citation.json"}</w:instrText>
      </w:r>
      <w:r>
        <w:fldChar w:fldCharType="separate"/>
      </w:r>
      <w:r>
        <w:t xml:space="preserve">Siti Tatmainul Qulub and Nor Afifatur Rochmah, “Pergeseran Paradigma Dalam Metode Penentuan Awal Bulan Hijriah Di Malaysia,” </w:t>
      </w:r>
      <w:r>
        <w:rPr>
          <w:i/>
        </w:rPr>
        <w:t>Al-Qānūn: Jurnal Pemikiran Dan Pembaharuan Hukum Islam</w:t>
      </w:r>
      <w:r>
        <w:t xml:space="preserve"> 28, no. 2 (2025): 5–10.</w:t>
      </w:r>
      <w:r>
        <w:fldChar w:fldCharType="end"/>
      </w:r>
    </w:p>
  </w:footnote>
  <w:footnote w:id="7">
    <w:p>
      <w:pPr>
        <w:pStyle w:val="2"/>
        <w:jc w:val="both"/>
        <w:rPr>
          <w:rFonts w:ascii="Times New Roman" w:hAnsi="Times New Roman" w:cs="Times New Roman"/>
          <w:lang w:val="en-US"/>
        </w:rPr>
      </w:pPr>
      <w:r>
        <w:rPr>
          <w:rStyle w:val="4"/>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 xml:space="preserve">ADDIN CSL_CITATION {"citationItems":[{"id":"ITEM-1","itemData":{"author":[{"dropping-particle":"","family":"Yusal","given":"Ibban Muhammad","non-dropping-particle":"","parse-names":false,"suffix":""},{"dropping-particle":"","family":"Yunus","given":"M. Abdul","non-dropping-particle":"","parse-names":false,"suffix":""},{"dropping-particle":"","family":"Sani","given":"Siti Wasilah","non-dropping-particle":"","parse-names":false,"suffix":""},{"dropping-particle":"","family":"Sholihah","given":"Firdatus","non-dropping-particle":"","parse-names":false,"suffix":""},{"dropping-particle":"","family":"Aminah","given":"Siti","non-dropping-particle":"","parse-names":false,"suffix":""},{"dropping-particle":"","family":"Ardli","given":"Muhammad Nabat","non-dropping-particle":"","parse-names":false,"suffix":""}],"container-title":"Makkah","id":"ITEM-1","issue":"2","issued":{"date-parts":[["2025"]]},"page":"20-30","title":"Kalender Hijriah Global Dan Pengaruhnya Terhadap Penetapan Waktu Ibadah: Pendekatan Manhaj Tarjih Muhammadiyah","type":"article-journal","volume":"1"},"uris":["http://www.mendeley.com/documents/?uuid=1a8276da-af9a-4ac9-9943-a76187225fae"]}],"mendeley":{"formattedCitation":"Ibban Muhammad Yusal et al., “Kalender Hijriah Global Dan Pengaruhnya Terhadap Penetapan Waktu Ibadah: Pendekatan Manhaj Tarjih Muhammadiyah,” &lt;i&gt;Makkah&lt;/i&gt; 1, no. 2 (2025): 20–30.","plainTextFormattedCitation":"Ibban Muhammad Yusal et al., “Kalender Hijriah Global Dan Pengaruhnya Terhadap Penetapan Waktu Ibadah: Pendekatan Manhaj Tarjih Muhammadiyah,” Makkah 1, no. 2 (2025): 20–30.","previouslyFormattedCitation":"Ibban Muhammad Yusal et al., “Kalender Hijriah Global Dan Pengaruhnya Terhadap Penetapan Waktu Ibadah: Pendekatan Manhaj Tarjih Muhammadiyah,” &lt;i&gt;Makkah&lt;/i&gt; 1, no. 2 (2025): 20–30."},"properties":{"noteIndex":8},"schema":"https://github.com/citation-style-language/schema/raw/master/csl-citation.json"}</w:instrText>
      </w:r>
      <w:r>
        <w:rPr>
          <w:rFonts w:ascii="Times New Roman" w:hAnsi="Times New Roman" w:cs="Times New Roman"/>
        </w:rPr>
        <w:fldChar w:fldCharType="separate"/>
      </w:r>
      <w:r>
        <w:rPr>
          <w:rFonts w:ascii="Times New Roman" w:hAnsi="Times New Roman" w:cs="Times New Roman"/>
        </w:rPr>
        <w:t xml:space="preserve">Ibban Muhammad Yusal et al., “Kalender Hijriah Global Dan Pengaruhnya Terhadap Penetapan Waktu Ibadah: Pendekatan Manhaj Tarjih Muhammadiyah,” </w:t>
      </w:r>
      <w:r>
        <w:rPr>
          <w:rFonts w:ascii="Times New Roman" w:hAnsi="Times New Roman" w:cs="Times New Roman"/>
          <w:i/>
        </w:rPr>
        <w:t>Makkah</w:t>
      </w:r>
      <w:r>
        <w:rPr>
          <w:rFonts w:ascii="Times New Roman" w:hAnsi="Times New Roman" w:cs="Times New Roman"/>
        </w:rPr>
        <w:t xml:space="preserve"> 1, no. 2 (2025): 20–30.</w:t>
      </w:r>
      <w:r>
        <w:rPr>
          <w:rFonts w:ascii="Times New Roman" w:hAnsi="Times New Roman" w:cs="Times New Roman"/>
        </w:rPr>
        <w:fldChar w:fldCharType="end"/>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6E66C36"/>
    <w:multiLevelType w:val="singleLevel"/>
    <w:tmpl w:val="D6E66C36"/>
    <w:lvl w:ilvl="0" w:tentative="0">
      <w:start w:val="1"/>
      <w:numFmt w:val="decimal"/>
      <w:suff w:val="space"/>
      <w:lvlText w:val="%1."/>
      <w:lvlJc w:val="left"/>
    </w:lvl>
  </w:abstractNum>
  <w:abstractNum w:abstractNumId="1">
    <w:nsid w:val="43E60564"/>
    <w:multiLevelType w:val="multilevel"/>
    <w:tmpl w:val="43E6056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91C"/>
    <w:rsid w:val="00017D7C"/>
    <w:rsid w:val="00041524"/>
    <w:rsid w:val="000533B0"/>
    <w:rsid w:val="001148B6"/>
    <w:rsid w:val="0017613B"/>
    <w:rsid w:val="001E4AFC"/>
    <w:rsid w:val="00221F9D"/>
    <w:rsid w:val="002762CD"/>
    <w:rsid w:val="002D1588"/>
    <w:rsid w:val="002D5DF1"/>
    <w:rsid w:val="0030101A"/>
    <w:rsid w:val="00311E61"/>
    <w:rsid w:val="00316110"/>
    <w:rsid w:val="00376675"/>
    <w:rsid w:val="003837FB"/>
    <w:rsid w:val="003849FE"/>
    <w:rsid w:val="003A1144"/>
    <w:rsid w:val="003C109B"/>
    <w:rsid w:val="003E4844"/>
    <w:rsid w:val="003E5868"/>
    <w:rsid w:val="00413FDF"/>
    <w:rsid w:val="00417B13"/>
    <w:rsid w:val="004A274B"/>
    <w:rsid w:val="004F7D5E"/>
    <w:rsid w:val="005A3A19"/>
    <w:rsid w:val="005E1204"/>
    <w:rsid w:val="006A556A"/>
    <w:rsid w:val="006E55E5"/>
    <w:rsid w:val="0074507A"/>
    <w:rsid w:val="00756864"/>
    <w:rsid w:val="007A2D0D"/>
    <w:rsid w:val="007B0F92"/>
    <w:rsid w:val="008141D0"/>
    <w:rsid w:val="0082799A"/>
    <w:rsid w:val="008637ED"/>
    <w:rsid w:val="008818B4"/>
    <w:rsid w:val="00894EB5"/>
    <w:rsid w:val="008A72F5"/>
    <w:rsid w:val="008B0B5C"/>
    <w:rsid w:val="00903D1B"/>
    <w:rsid w:val="00971C8C"/>
    <w:rsid w:val="00A117A2"/>
    <w:rsid w:val="00A141F3"/>
    <w:rsid w:val="00A156C3"/>
    <w:rsid w:val="00A54539"/>
    <w:rsid w:val="00A646BC"/>
    <w:rsid w:val="00A811F9"/>
    <w:rsid w:val="00A869F4"/>
    <w:rsid w:val="00AB13E4"/>
    <w:rsid w:val="00B16E4F"/>
    <w:rsid w:val="00BB15C4"/>
    <w:rsid w:val="00BF4A14"/>
    <w:rsid w:val="00BF5339"/>
    <w:rsid w:val="00C63C84"/>
    <w:rsid w:val="00C72954"/>
    <w:rsid w:val="00C729CA"/>
    <w:rsid w:val="00C77E86"/>
    <w:rsid w:val="00CB0E77"/>
    <w:rsid w:val="00D07CFA"/>
    <w:rsid w:val="00D8691C"/>
    <w:rsid w:val="00DB004D"/>
    <w:rsid w:val="00DF582D"/>
    <w:rsid w:val="00E0230D"/>
    <w:rsid w:val="00E45695"/>
    <w:rsid w:val="00F20572"/>
    <w:rsid w:val="00FC207A"/>
    <w:rsid w:val="17760098"/>
    <w:rsid w:val="4F83338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character" w:default="1" w:styleId="3">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note text"/>
    <w:basedOn w:val="1"/>
    <w:link w:val="7"/>
    <w:semiHidden/>
    <w:unhideWhenUsed/>
    <w:qFormat/>
    <w:uiPriority w:val="99"/>
    <w:pPr>
      <w:spacing w:after="0" w:line="240" w:lineRule="auto"/>
    </w:pPr>
    <w:rPr>
      <w:sz w:val="20"/>
      <w:szCs w:val="20"/>
    </w:rPr>
  </w:style>
  <w:style w:type="character" w:styleId="4">
    <w:name w:val="footnote reference"/>
    <w:basedOn w:val="3"/>
    <w:semiHidden/>
    <w:unhideWhenUsed/>
    <w:qFormat/>
    <w:uiPriority w:val="99"/>
    <w:rPr>
      <w:vertAlign w:val="superscript"/>
    </w:rPr>
  </w:style>
  <w:style w:type="paragraph" w:styleId="6">
    <w:name w:val="List Paragraph"/>
    <w:basedOn w:val="1"/>
    <w:qFormat/>
    <w:uiPriority w:val="34"/>
    <w:pPr>
      <w:ind w:left="720"/>
      <w:contextualSpacing/>
    </w:pPr>
  </w:style>
  <w:style w:type="character" w:customStyle="1" w:styleId="7">
    <w:name w:val="Footnote Text Char"/>
    <w:basedOn w:val="3"/>
    <w:link w:val="2"/>
    <w:semiHidden/>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647D96-D9B6-4168-A1E2-63ADAD8E4F6D}">
  <ds:schemaRefs/>
</ds:datastoreItem>
</file>

<file path=docProps/app.xml><?xml version="1.0" encoding="utf-8"?>
<Properties xmlns="http://schemas.openxmlformats.org/officeDocument/2006/extended-properties" xmlns:vt="http://schemas.openxmlformats.org/officeDocument/2006/docPropsVTypes">
  <Template>Normal</Template>
  <Pages>6</Pages>
  <Words>1080</Words>
  <Characters>6156</Characters>
  <Lines>51</Lines>
  <Paragraphs>14</Paragraphs>
  <TotalTime>31</TotalTime>
  <ScaleCrop>false</ScaleCrop>
  <LinksUpToDate>false</LinksUpToDate>
  <CharactersWithSpaces>7222</CharactersWithSpaces>
  <Application>WPS Office_11.2.0.9629_F1E327BC-269C-435d-A152-05C5408002CA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2026-04-14T10:40:00Z</dcterms:created>
  <dc:creator>Fortuna Sultan</dc:creator>
  <cp:lastModifiedBy>User</cp:lastModifiedBy>
  <dcterms:modified xsi:type="dcterms:W3CDTF">2026-04-14T13:28:44Z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http://www.zotero.org/styles/chicago-fullnote-bibliography</vt:lpwstr>
  </property>
  <property fmtid="{D5CDD505-2E9C-101B-9397-08002B2CF9AE}" pid="9" name="Mendeley Recent Style Name 3_1">
    <vt:lpwstr>Chicago Manual of Style 17th edition (full note)</vt:lpwstr>
  </property>
  <property fmtid="{D5CDD505-2E9C-101B-9397-08002B2CF9AE}" pid="10" name="Mendeley Recent Style Id 4_1">
    <vt:lpwstr>http://www.zotero.org/styles/chicago-note-bibliography</vt:lpwstr>
  </property>
  <property fmtid="{D5CDD505-2E9C-101B-9397-08002B2CF9AE}" pid="11" name="Mendeley Recent Style Name 4_1">
    <vt:lpwstr>Chicago Manual of Style 17th edition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4742b595-8093-3876-9491-698cd03d054c</vt:lpwstr>
  </property>
  <property fmtid="{D5CDD505-2E9C-101B-9397-08002B2CF9AE}" pid="24" name="Mendeley Citation Style_1">
    <vt:lpwstr>http://www.zotero.org/styles/chicago-fullnote-bibliography</vt:lpwstr>
  </property>
  <property fmtid="{D5CDD505-2E9C-101B-9397-08002B2CF9AE}" pid="25" name="KSOProductBuildVer">
    <vt:lpwstr>1033-11.2.0.9629</vt:lpwstr>
  </property>
</Properties>
</file>