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E1E" w:rsidRPr="00E47E1E" w:rsidRDefault="00E47E1E" w:rsidP="00A701A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</w:pPr>
      <w:proofErr w:type="spellStart"/>
      <w:r w:rsidRPr="00E47E1E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>Hukum</w:t>
      </w:r>
      <w:proofErr w:type="spellEnd"/>
      <w:r w:rsidRPr="00E47E1E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>Penggunaan</w:t>
      </w:r>
      <w:proofErr w:type="spellEnd"/>
      <w:r w:rsidRPr="00E47E1E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 xml:space="preserve"> Digita</w:t>
      </w:r>
      <w:r w:rsidR="00A701A3">
        <w:rPr>
          <w:rFonts w:ascii="Times New Roman" w:eastAsia="Times New Roman" w:hAnsi="Times New Roman" w:cs="Times New Roman"/>
          <w:b/>
          <w:bCs/>
          <w:noProof w:val="0"/>
          <w:kern w:val="36"/>
          <w:sz w:val="24"/>
          <w:szCs w:val="24"/>
          <w:lang w:val="en-US"/>
        </w:rPr>
        <w:t>l</w:t>
      </w:r>
      <w:bookmarkStart w:id="0" w:name="_GoBack"/>
      <w:bookmarkEnd w:id="0"/>
    </w:p>
    <w:p w:rsidR="00E47E1E" w:rsidRPr="00E47E1E" w:rsidRDefault="00E47E1E" w:rsidP="0094374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Perkembangan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teknologi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membawa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perubahan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besar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sistem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keuangan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satunya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munculnya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seperti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e-money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e-wallet.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merupakan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alat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pembayaran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menyimpan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nilai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secara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elektronik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digunakan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</w:t>
      </w:r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alam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berbagai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modern.</w:t>
      </w:r>
      <w:r w:rsidR="00943747">
        <w:rPr>
          <w:rStyle w:val="FootnoteReference"/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footnoteReference w:id="1"/>
      </w:r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Fenomena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kemudian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menimbulkan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perdebatan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kalangan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mengenai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status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hukumnya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perspektif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fiqh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muamalah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AE44E3" w:rsidRDefault="00E47E1E" w:rsidP="00AE44E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Secara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umum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dua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utama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terkait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hukum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penggunaan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pertama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merupakan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pandangan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mayoritas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kontemporer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menyatakan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penggunaan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hukumnya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mubah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memenuhi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prinsip-prinsip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didasarkan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pemahaman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hanyalah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representasi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dari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tunai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bentuk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elektronik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sehingga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mengubah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hakikatnya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sebagai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alat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tukar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diposisikan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sebagai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wasilah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sarana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bukan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sebagai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objek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utama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Pandangan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juga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didukung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Majelis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Indonesia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melalui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Fatwa DSN-MUI No. 116/DSN-MUI/IX/2017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menyatakan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elektronik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diperbolehkan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mengandung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unsur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riba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gharar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maysir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serta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memiliki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akad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jelas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  <w:r w:rsidR="00830509">
        <w:rPr>
          <w:rStyle w:val="FootnoteReference"/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footnoteReference w:id="2"/>
      </w:r>
    </w:p>
    <w:p w:rsidR="00AE44E3" w:rsidRPr="00AE44E3" w:rsidRDefault="00AE44E3" w:rsidP="00AE44E3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r w:rsidRPr="00AE44E3">
        <w:rPr>
          <w:rFonts w:asciiTheme="majorBidi" w:hAnsiTheme="majorBidi" w:cstheme="majorBidi"/>
          <w:sz w:val="24"/>
          <w:szCs w:val="24"/>
        </w:rPr>
        <w:t xml:space="preserve">Selain itu, penelitian yang dilakukan oleh </w:t>
      </w:r>
      <w:r w:rsidRPr="00AE44E3">
        <w:rPr>
          <w:rStyle w:val="whitespace-normal"/>
          <w:rFonts w:asciiTheme="majorBidi" w:hAnsiTheme="majorBidi" w:cstheme="majorBidi"/>
          <w:sz w:val="24"/>
          <w:szCs w:val="24"/>
        </w:rPr>
        <w:t>Ahmad Izzan</w:t>
      </w:r>
      <w:r w:rsidRPr="00AE44E3">
        <w:rPr>
          <w:rFonts w:asciiTheme="majorBidi" w:hAnsiTheme="majorBidi" w:cstheme="majorBidi"/>
          <w:sz w:val="24"/>
          <w:szCs w:val="24"/>
        </w:rPr>
        <w:t xml:space="preserve"> dan </w:t>
      </w:r>
      <w:r w:rsidRPr="00AE44E3">
        <w:rPr>
          <w:rStyle w:val="whitespace-normal"/>
          <w:rFonts w:asciiTheme="majorBidi" w:hAnsiTheme="majorBidi" w:cstheme="majorBidi"/>
          <w:sz w:val="24"/>
          <w:szCs w:val="24"/>
        </w:rPr>
        <w:t>Andri Piandi</w:t>
      </w:r>
      <w:r w:rsidRPr="00AE44E3">
        <w:rPr>
          <w:rFonts w:asciiTheme="majorBidi" w:hAnsiTheme="majorBidi" w:cstheme="majorBidi"/>
          <w:sz w:val="24"/>
          <w:szCs w:val="24"/>
        </w:rPr>
        <w:t xml:space="preserve"> menunjukkan bahwa penggunaan uang digital pada aplikasi DANA dalam perspektif hukum ekonomi syariah </w:t>
      </w:r>
      <w:r w:rsidRPr="00AE44E3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diperbolehkan</w:t>
      </w:r>
      <w:r w:rsidRPr="00AE44E3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AE44E3">
        <w:rPr>
          <w:rFonts w:asciiTheme="majorBidi" w:hAnsiTheme="majorBidi" w:cstheme="majorBidi"/>
          <w:sz w:val="24"/>
          <w:szCs w:val="24"/>
        </w:rPr>
        <w:t xml:space="preserve"> karena dalam praktiknya tidak ditemukan unsur riba, gharar, maupun maysir, serta hanya berfungsi sebagai alat pembayaran yang me</w:t>
      </w:r>
      <w:r>
        <w:rPr>
          <w:rFonts w:asciiTheme="majorBidi" w:hAnsiTheme="majorBidi" w:cstheme="majorBidi"/>
          <w:sz w:val="24"/>
          <w:szCs w:val="24"/>
        </w:rPr>
        <w:t>mpermudah transaksi masyarakat.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3"/>
      </w:r>
      <w:r w:rsidRPr="00AE44E3">
        <w:rPr>
          <w:rFonts w:asciiTheme="majorBidi" w:hAnsiTheme="majorBidi" w:cstheme="majorBidi"/>
          <w:sz w:val="24"/>
          <w:szCs w:val="24"/>
        </w:rPr>
        <w:t xml:space="preserve"> Hal ini memperkuat bahwa secara praktik empiris, uang digital telah sesuai dengan prinsip-prinsip muamalah Islam.</w:t>
      </w:r>
    </w:p>
    <w:p w:rsidR="00E47E1E" w:rsidRPr="00E47E1E" w:rsidRDefault="00E47E1E" w:rsidP="00E47E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Landasan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utama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kaidah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fiqh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menyatakan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“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hukum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asal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proofErr w:type="gram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muamalah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” (</w:t>
      </w:r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al-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ashlu</w:t>
      </w:r>
      <w:proofErr w:type="spellEnd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fil</w:t>
      </w:r>
      <w:proofErr w:type="spellEnd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mu‘amalat</w:t>
      </w:r>
      <w:proofErr w:type="spellEnd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 xml:space="preserve"> al-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ibahah</w:t>
      </w:r>
      <w:proofErr w:type="spellEnd"/>
      <w:r w:rsidR="0083050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).</w:t>
      </w:r>
      <w:r w:rsidR="00830509">
        <w:rPr>
          <w:rStyle w:val="FootnoteReference"/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footnoteReference w:id="4"/>
      </w:r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Selain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Al-Qur’an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juga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menegaskan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kehalalan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jual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beli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keharaman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riba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sebagaimana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QS. Al-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Baqarah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ayat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275.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demikian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menggunakan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mengandung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unsur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diharamkan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maka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hukumnya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tetap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diperbolehkan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Metode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istinbath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digunakan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kelompok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antara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lain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qiyas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analogi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menyamakan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tunai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serta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maslahah</w:t>
      </w:r>
      <w:proofErr w:type="spellEnd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mursalah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yaitu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mempertimbangkan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kemaslahatan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dihasilkan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seperti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kemudahan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efisiensi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keamanan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E47E1E" w:rsidRDefault="00E47E1E" w:rsidP="0083050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Sebaliknya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kedua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menyatakan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penggunaan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atau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setidaknya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harus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dibatasi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secara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ketat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berangkat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dari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kekhawatiran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unsur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gharar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ketidakjelasan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riba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potensi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penya</w:t>
      </w:r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lahgunaan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sistem</w:t>
      </w:r>
      <w:proofErr w:type="spellEnd"/>
      <w:r w:rsidR="00943747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digital.</w:t>
      </w:r>
      <w:r w:rsidR="00830509">
        <w:rPr>
          <w:rStyle w:val="FootnoteReference"/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footnoteReference w:id="5"/>
      </w:r>
      <w:r w:rsidR="00830509"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Mereka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menilai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sepenuhnya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memenuhi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kriteria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Islam,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terutama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karena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memiliki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wujud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fisik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seringkali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bergantung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sistem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pihak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ketiga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transparan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E47E1E" w:rsidRPr="00E47E1E" w:rsidRDefault="00E47E1E" w:rsidP="00E47E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Dalil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digunakan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kedua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antara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lain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hadis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Nabi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mengandung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gharar</w:t>
      </w:r>
      <w:proofErr w:type="spellEnd"/>
      <w:r w:rsidR="00830509">
        <w:rPr>
          <w:rStyle w:val="FootnoteReference"/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footnoteReference w:id="6"/>
      </w:r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 “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Rasulullah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jual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beli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mengandung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ketidakjelasan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gharar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).”⁴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Selain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QS. An-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Nisa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ayat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29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juga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harta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cara</w:t>
      </w:r>
      <w:proofErr w:type="spellEnd"/>
      <w:proofErr w:type="gram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batil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Pendekatan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digunakan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kelompok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sadd</w:t>
      </w:r>
      <w:proofErr w:type="spellEnd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 xml:space="preserve"> adz-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dzari’ah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menutup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jalan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menuju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keharaman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prinsip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kehati-hatian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E47E1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ihtiyat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),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tujuan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mencegah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potensi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pelanggaran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sejak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awal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E47E1E" w:rsidRDefault="00E47E1E" w:rsidP="00E47E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Perbedaan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kedua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dasarnya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terletak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cara</w:t>
      </w:r>
      <w:proofErr w:type="spellEnd"/>
      <w:proofErr w:type="gram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memandang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sistem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sendiri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membolehkan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melihatnya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sebagai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inovasi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alat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transaksi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tetap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berada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koridor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sedangkan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lebih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menyoroti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potensi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risiko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ketidakjelasan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mungkin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muncul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Meski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demikian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keduanya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memiliki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tujuan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proofErr w:type="gram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sama</w:t>
      </w:r>
      <w:proofErr w:type="spellEnd"/>
      <w:proofErr w:type="gram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yaitu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menjaga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prinsip-prinsip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aktivitas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ekonomi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khususnya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menghindari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riba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gharar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penipuan.</w:t>
      </w:r>
      <w:proofErr w:type="spellEnd"/>
    </w:p>
    <w:p w:rsidR="00E47E1E" w:rsidRPr="00E47E1E" w:rsidRDefault="00E47E1E" w:rsidP="00E47E1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Dari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analisis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membolehkan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memiliki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kekuatan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relevansi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terhadap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perkembangan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zaman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kemudahan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bagi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masyarakat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Selain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juga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didukung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oleh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lembaga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resmi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seperti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Majelis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Indonesia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serta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lembaga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fiqh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internasional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seperti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International Islamic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Fiqh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Academy.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Namun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kelemahannya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terletak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kemungkinan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terlalu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longgar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menerima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sistem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modern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belum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tentu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sepenuhnya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bebas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dari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unsur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non-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8F09F4" w:rsidRPr="00FF44EB" w:rsidRDefault="00E47E1E" w:rsidP="00FF44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ab/>
      </w:r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Di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lain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memiliki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kekuatan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menjaga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kehati-hatian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kemurnian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prinsip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Akan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tetapi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kelemahannya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cenderung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kurang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adaptif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terhadap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perkembangan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zaman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berpotensi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menyulitkan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praktik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muamalah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masyarakat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modern.</w:t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mempertimbangkan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seluruh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aspek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tersebut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disimpulkan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bahwa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penggunaan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pada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dasarnya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diperbolehkan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selama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memenuhi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prinsip-prinsip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seperti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kejelasan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akad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tidak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riba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gharar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maysir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serta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adanya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transparansi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sistem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membolehkan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dijadikan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rujukan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utama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sementara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pendapat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yang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melarang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tetap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penting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sebagai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bentuk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kontrol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kritis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agar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praktik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keuangan</w:t>
      </w:r>
      <w:proofErr w:type="spellEnd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digital </w:t>
      </w:r>
      <w:proofErr w:type="spellStart"/>
      <w:r w:rsidRPr="00E47E1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tet</w:t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ap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berada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dalam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koridor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syariah</w:t>
      </w:r>
      <w:proofErr w:type="spellEnd"/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sectPr w:rsidR="008F09F4" w:rsidRPr="00FF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321" w:rsidRDefault="00192321" w:rsidP="00943747">
      <w:pPr>
        <w:spacing w:after="0" w:line="240" w:lineRule="auto"/>
      </w:pPr>
      <w:r>
        <w:separator/>
      </w:r>
    </w:p>
  </w:endnote>
  <w:endnote w:type="continuationSeparator" w:id="0">
    <w:p w:rsidR="00192321" w:rsidRDefault="00192321" w:rsidP="00943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321" w:rsidRDefault="00192321" w:rsidP="00943747">
      <w:pPr>
        <w:spacing w:after="0" w:line="240" w:lineRule="auto"/>
      </w:pPr>
      <w:r>
        <w:separator/>
      </w:r>
    </w:p>
  </w:footnote>
  <w:footnote w:type="continuationSeparator" w:id="0">
    <w:p w:rsidR="00192321" w:rsidRDefault="00192321" w:rsidP="00943747">
      <w:pPr>
        <w:spacing w:after="0" w:line="240" w:lineRule="auto"/>
      </w:pPr>
      <w:r>
        <w:continuationSeparator/>
      </w:r>
    </w:p>
  </w:footnote>
  <w:footnote w:id="1">
    <w:p w:rsidR="00943747" w:rsidRPr="00830509" w:rsidRDefault="00943747" w:rsidP="00830509">
      <w:pPr>
        <w:pStyle w:val="FootnoteText"/>
        <w:jc w:val="both"/>
        <w:rPr>
          <w:rFonts w:asciiTheme="majorBidi" w:hAnsiTheme="majorBidi" w:cstheme="majorBidi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830509" w:rsidRPr="00830509">
        <w:rPr>
          <w:rFonts w:asciiTheme="majorBidi" w:hAnsiTheme="majorBidi" w:cstheme="majorBidi"/>
          <w:lang w:val="en-US"/>
        </w:rPr>
        <w:t>B</w:t>
      </w:r>
      <w:r w:rsidRPr="00830509">
        <w:rPr>
          <w:rFonts w:asciiTheme="majorBidi" w:hAnsiTheme="majorBidi" w:cstheme="majorBidi"/>
        </w:rPr>
        <w:t xml:space="preserve">ank Indonesia, </w:t>
      </w:r>
      <w:r w:rsidRPr="00830509">
        <w:rPr>
          <w:rStyle w:val="Emphasis"/>
          <w:rFonts w:asciiTheme="majorBidi" w:hAnsiTheme="majorBidi" w:cstheme="majorBidi"/>
        </w:rPr>
        <w:t>Peraturan Bank Indonesia Nomor 20/6/PBI/2018 tentang Uang Elektronik</w:t>
      </w:r>
      <w:r w:rsidRPr="00830509">
        <w:rPr>
          <w:rFonts w:asciiTheme="majorBidi" w:hAnsiTheme="majorBidi" w:cstheme="majorBidi"/>
        </w:rPr>
        <w:t xml:space="preserve"> (Jakarta: Bank Indonesia, 2018), hlm. 3</w:t>
      </w:r>
    </w:p>
  </w:footnote>
  <w:footnote w:id="2">
    <w:p w:rsidR="00830509" w:rsidRPr="00830509" w:rsidRDefault="00830509" w:rsidP="00830509">
      <w:pPr>
        <w:pStyle w:val="FootnoteText"/>
        <w:jc w:val="both"/>
        <w:rPr>
          <w:rFonts w:asciiTheme="majorBidi" w:hAnsiTheme="majorBidi" w:cstheme="majorBidi"/>
          <w:lang w:val="en-US"/>
        </w:rPr>
      </w:pPr>
      <w:r w:rsidRPr="00830509">
        <w:rPr>
          <w:rStyle w:val="FootnoteReference"/>
          <w:rFonts w:asciiTheme="majorBidi" w:hAnsiTheme="majorBidi" w:cstheme="majorBidi"/>
        </w:rPr>
        <w:footnoteRef/>
      </w:r>
      <w:r w:rsidRPr="00830509">
        <w:rPr>
          <w:rFonts w:asciiTheme="majorBidi" w:hAnsiTheme="majorBidi" w:cstheme="majorBidi"/>
        </w:rPr>
        <w:t xml:space="preserve"> </w:t>
      </w:r>
      <w:r w:rsidRPr="00830509">
        <w:rPr>
          <w:rFonts w:asciiTheme="majorBidi" w:hAnsiTheme="majorBidi" w:cstheme="majorBidi"/>
          <w:lang w:val="en-US"/>
        </w:rPr>
        <w:t>De</w:t>
      </w:r>
      <w:r w:rsidRPr="00830509">
        <w:rPr>
          <w:rFonts w:asciiTheme="majorBidi" w:hAnsiTheme="majorBidi" w:cstheme="majorBidi"/>
        </w:rPr>
        <w:t xml:space="preserve">wan Syariah Nasional Majelis Ulama Indonesia, </w:t>
      </w:r>
      <w:r w:rsidRPr="00830509">
        <w:rPr>
          <w:rStyle w:val="Emphasis"/>
          <w:rFonts w:asciiTheme="majorBidi" w:hAnsiTheme="majorBidi" w:cstheme="majorBidi"/>
        </w:rPr>
        <w:t>Fatwa No. 116/DSN-MUI/IX/2017 tentang Uang Elektronik Syariah</w:t>
      </w:r>
      <w:r w:rsidRPr="00830509">
        <w:rPr>
          <w:rFonts w:asciiTheme="majorBidi" w:hAnsiTheme="majorBidi" w:cstheme="majorBidi"/>
        </w:rPr>
        <w:t xml:space="preserve"> (Jakarta: DSN-MUI, 2017), hlm. 5.</w:t>
      </w:r>
    </w:p>
  </w:footnote>
  <w:footnote w:id="3">
    <w:p w:rsidR="00AE44E3" w:rsidRPr="00AE44E3" w:rsidRDefault="00AE44E3" w:rsidP="00AE44E3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AE44E3">
        <w:rPr>
          <w:rFonts w:asciiTheme="majorBidi" w:hAnsiTheme="majorBidi" w:cstheme="majorBidi"/>
        </w:rPr>
        <w:t xml:space="preserve">Ahmad Izzan dan Andri Piandi, “Konsep Uang Digital di Aplikasi DANA Perspektif Hukum Ekonomi Syariah,” </w:t>
      </w:r>
      <w:r w:rsidRPr="00AE44E3">
        <w:rPr>
          <w:rStyle w:val="Emphasis"/>
          <w:rFonts w:asciiTheme="majorBidi" w:hAnsiTheme="majorBidi" w:cstheme="majorBidi"/>
        </w:rPr>
        <w:t>Jurnal Hukum Ekonomi Syariah (JHESY)</w:t>
      </w:r>
      <w:r w:rsidRPr="00AE44E3">
        <w:rPr>
          <w:rFonts w:asciiTheme="majorBidi" w:hAnsiTheme="majorBidi" w:cstheme="majorBidi"/>
        </w:rPr>
        <w:t xml:space="preserve"> 1, no. 1 (2022): hlm. 2–</w:t>
      </w:r>
      <w:r>
        <w:t>3.</w:t>
      </w:r>
    </w:p>
  </w:footnote>
  <w:footnote w:id="4">
    <w:p w:rsidR="00830509" w:rsidRPr="00830509" w:rsidRDefault="00830509" w:rsidP="00830509">
      <w:pPr>
        <w:pStyle w:val="FootnoteText"/>
        <w:jc w:val="both"/>
        <w:rPr>
          <w:rFonts w:asciiTheme="majorBidi" w:hAnsiTheme="majorBidi" w:cstheme="majorBidi"/>
          <w:lang w:val="en-US"/>
        </w:rPr>
      </w:pPr>
      <w:r w:rsidRPr="00830509">
        <w:rPr>
          <w:rStyle w:val="FootnoteReference"/>
          <w:rFonts w:asciiTheme="majorBidi" w:hAnsiTheme="majorBidi" w:cstheme="majorBidi"/>
        </w:rPr>
        <w:footnoteRef/>
      </w:r>
      <w:r w:rsidRPr="00830509">
        <w:rPr>
          <w:rFonts w:asciiTheme="majorBidi" w:hAnsiTheme="majorBidi" w:cstheme="majorBidi"/>
        </w:rPr>
        <w:t xml:space="preserve"> </w:t>
      </w:r>
      <w:r w:rsidRPr="00830509">
        <w:rPr>
          <w:rFonts w:asciiTheme="majorBidi" w:hAnsiTheme="majorBidi" w:cstheme="majorBidi"/>
          <w:lang w:val="en-US"/>
        </w:rPr>
        <w:t>Ja</w:t>
      </w:r>
      <w:r w:rsidRPr="00830509">
        <w:rPr>
          <w:rFonts w:asciiTheme="majorBidi" w:hAnsiTheme="majorBidi" w:cstheme="majorBidi"/>
        </w:rPr>
        <w:t xml:space="preserve">laluddin al-Suyuthi, </w:t>
      </w:r>
      <w:r w:rsidRPr="00830509">
        <w:rPr>
          <w:rStyle w:val="Emphasis"/>
          <w:rFonts w:asciiTheme="majorBidi" w:hAnsiTheme="majorBidi" w:cstheme="majorBidi"/>
        </w:rPr>
        <w:t>Al-Asybah wa al-Nazhair</w:t>
      </w:r>
      <w:r w:rsidRPr="00830509">
        <w:rPr>
          <w:rFonts w:asciiTheme="majorBidi" w:hAnsiTheme="majorBidi" w:cstheme="majorBidi"/>
        </w:rPr>
        <w:t xml:space="preserve"> (Beirut: Dar al-Kutub al-‘Ilmiyyah, 1998), hlm. </w:t>
      </w:r>
      <w:r w:rsidRPr="00830509">
        <w:rPr>
          <w:rFonts w:asciiTheme="majorBidi" w:hAnsiTheme="majorBidi" w:cstheme="majorBidi"/>
        </w:rPr>
        <w:t>60.</w:t>
      </w:r>
    </w:p>
  </w:footnote>
  <w:footnote w:id="5">
    <w:p w:rsidR="00830509" w:rsidRPr="00830509" w:rsidRDefault="00830509" w:rsidP="00830509">
      <w:pPr>
        <w:pStyle w:val="FootnoteText"/>
        <w:jc w:val="both"/>
        <w:rPr>
          <w:rFonts w:asciiTheme="majorBidi" w:hAnsiTheme="majorBidi" w:cstheme="majorBidi"/>
          <w:lang w:val="en-US"/>
        </w:rPr>
      </w:pPr>
      <w:r w:rsidRPr="00830509">
        <w:rPr>
          <w:rStyle w:val="FootnoteReference"/>
          <w:rFonts w:asciiTheme="majorBidi" w:hAnsiTheme="majorBidi" w:cstheme="majorBidi"/>
        </w:rPr>
        <w:footnoteRef/>
      </w:r>
      <w:r w:rsidRPr="00830509">
        <w:rPr>
          <w:rFonts w:asciiTheme="majorBidi" w:hAnsiTheme="majorBidi" w:cstheme="majorBidi"/>
        </w:rPr>
        <w:t xml:space="preserve"> </w:t>
      </w:r>
      <w:r w:rsidRPr="00830509">
        <w:rPr>
          <w:rFonts w:asciiTheme="majorBidi" w:hAnsiTheme="majorBidi" w:cstheme="majorBidi"/>
          <w:lang w:val="en-US"/>
        </w:rPr>
        <w:t>Nu</w:t>
      </w:r>
      <w:r w:rsidRPr="00830509">
        <w:rPr>
          <w:rFonts w:asciiTheme="majorBidi" w:hAnsiTheme="majorBidi" w:cstheme="majorBidi"/>
        </w:rPr>
        <w:t xml:space="preserve">rul Huda dan Mohamad Heykal, </w:t>
      </w:r>
      <w:r w:rsidRPr="00830509">
        <w:rPr>
          <w:rStyle w:val="Emphasis"/>
          <w:rFonts w:asciiTheme="majorBidi" w:hAnsiTheme="majorBidi" w:cstheme="majorBidi"/>
        </w:rPr>
        <w:t>Lembaga Keuangan Islam: Tinjauan Teoritis dan Praktis</w:t>
      </w:r>
      <w:r w:rsidRPr="00830509">
        <w:rPr>
          <w:rFonts w:asciiTheme="majorBidi" w:hAnsiTheme="majorBidi" w:cstheme="majorBidi"/>
        </w:rPr>
        <w:t xml:space="preserve"> (Jakarta: Kencana, 2010), hlm. </w:t>
      </w:r>
      <w:r w:rsidRPr="00830509">
        <w:rPr>
          <w:rFonts w:asciiTheme="majorBidi" w:hAnsiTheme="majorBidi" w:cstheme="majorBidi"/>
        </w:rPr>
        <w:t>245</w:t>
      </w:r>
    </w:p>
  </w:footnote>
  <w:footnote w:id="6">
    <w:p w:rsidR="00830509" w:rsidRPr="00830509" w:rsidRDefault="00830509" w:rsidP="00830509">
      <w:pPr>
        <w:pStyle w:val="FootnoteText"/>
        <w:jc w:val="both"/>
        <w:rPr>
          <w:rFonts w:asciiTheme="majorBidi" w:hAnsiTheme="majorBidi" w:cstheme="majorBidi"/>
          <w:lang w:val="en-US"/>
        </w:rPr>
      </w:pPr>
      <w:r w:rsidRPr="00830509">
        <w:rPr>
          <w:rStyle w:val="FootnoteReference"/>
          <w:rFonts w:asciiTheme="majorBidi" w:hAnsiTheme="majorBidi" w:cstheme="majorBidi"/>
        </w:rPr>
        <w:footnoteRef/>
      </w:r>
      <w:r w:rsidRPr="00830509">
        <w:rPr>
          <w:rFonts w:asciiTheme="majorBidi" w:hAnsiTheme="majorBidi" w:cstheme="majorBidi"/>
        </w:rPr>
        <w:t xml:space="preserve"> </w:t>
      </w:r>
      <w:r w:rsidRPr="00830509">
        <w:rPr>
          <w:rFonts w:asciiTheme="majorBidi" w:hAnsiTheme="majorBidi" w:cstheme="majorBidi"/>
          <w:lang w:val="en-US"/>
        </w:rPr>
        <w:t>mus</w:t>
      </w:r>
      <w:r w:rsidRPr="00830509">
        <w:rPr>
          <w:rFonts w:asciiTheme="majorBidi" w:hAnsiTheme="majorBidi" w:cstheme="majorBidi"/>
        </w:rPr>
        <w:t xml:space="preserve">lim bin al-Hajjaj, </w:t>
      </w:r>
      <w:r w:rsidRPr="00830509">
        <w:rPr>
          <w:rStyle w:val="Emphasis"/>
          <w:rFonts w:asciiTheme="majorBidi" w:hAnsiTheme="majorBidi" w:cstheme="majorBidi"/>
        </w:rPr>
        <w:t>Shahih Muslim</w:t>
      </w:r>
      <w:r w:rsidRPr="00830509">
        <w:rPr>
          <w:rFonts w:asciiTheme="majorBidi" w:hAnsiTheme="majorBidi" w:cstheme="majorBidi"/>
        </w:rPr>
        <w:t>, Kitab al-Buyu’, Bab Tahrim Bai‘ al-Gharar (Beirut: Dar Ihya’ al-Turats al-‘Arabi, t.t.), Hadis No. 1513.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7A4F5D"/>
    <w:multiLevelType w:val="multilevel"/>
    <w:tmpl w:val="CB32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E1E"/>
    <w:rsid w:val="00192321"/>
    <w:rsid w:val="0067174F"/>
    <w:rsid w:val="007D7F90"/>
    <w:rsid w:val="00830509"/>
    <w:rsid w:val="008F09F4"/>
    <w:rsid w:val="00943747"/>
    <w:rsid w:val="00A701A3"/>
    <w:rsid w:val="00AE44E3"/>
    <w:rsid w:val="00E47E1E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A4EDD0-5851-4102-BB0D-DBD672DB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E47E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47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47E1E"/>
    <w:rPr>
      <w:b/>
      <w:bCs/>
    </w:rPr>
  </w:style>
  <w:style w:type="character" w:styleId="Emphasis">
    <w:name w:val="Emphasis"/>
    <w:basedOn w:val="DefaultParagraphFont"/>
    <w:uiPriority w:val="20"/>
    <w:qFormat/>
    <w:rsid w:val="00E47E1E"/>
    <w:rPr>
      <w:i/>
      <w:iCs/>
    </w:rPr>
  </w:style>
  <w:style w:type="character" w:customStyle="1" w:styleId="whitespace-normal">
    <w:name w:val="whitespace-normal"/>
    <w:basedOn w:val="DefaultParagraphFont"/>
    <w:rsid w:val="00E47E1E"/>
  </w:style>
  <w:style w:type="paragraph" w:styleId="FootnoteText">
    <w:name w:val="footnote text"/>
    <w:basedOn w:val="Normal"/>
    <w:link w:val="FootnoteTextChar"/>
    <w:uiPriority w:val="99"/>
    <w:semiHidden/>
    <w:unhideWhenUsed/>
    <w:rsid w:val="0094374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3747"/>
    <w:rPr>
      <w:noProof/>
      <w:sz w:val="20"/>
      <w:szCs w:val="20"/>
      <w:lang w:val="id-ID"/>
    </w:rPr>
  </w:style>
  <w:style w:type="character" w:styleId="FootnoteReference">
    <w:name w:val="footnote reference"/>
    <w:basedOn w:val="DefaultParagraphFont"/>
    <w:uiPriority w:val="99"/>
    <w:semiHidden/>
    <w:unhideWhenUsed/>
    <w:rsid w:val="0094374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4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9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8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23749-BD9A-47A3-89CC-5057A8EF8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</dc:creator>
  <cp:keywords/>
  <dc:description/>
  <cp:lastModifiedBy>HYPE</cp:lastModifiedBy>
  <cp:revision>9</cp:revision>
  <dcterms:created xsi:type="dcterms:W3CDTF">2026-04-22T22:05:00Z</dcterms:created>
  <dcterms:modified xsi:type="dcterms:W3CDTF">2026-04-22T23:10:00Z</dcterms:modified>
</cp:coreProperties>
</file>