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lang w:val="en-US"/>
        </w:rPr>
        <w:t xml:space="preserve"> nama : Ihdinatul jannah</w:t>
      </w:r>
    </w:p>
    <w:p>
      <w:pPr>
        <w:pStyle w:val="style0"/>
        <w:rPr/>
      </w:pPr>
      <w:r>
        <w:rPr>
          <w:lang w:val="en-US"/>
        </w:rPr>
        <w:t>nim: 23051115</w:t>
      </w:r>
    </w:p>
    <w:p>
      <w:pPr>
        <w:pStyle w:val="style0"/>
        <w:jc w:val="both"/>
        <w:rPr/>
      </w:pPr>
      <w:r>
        <w:t>1. Masalah: Hukum memakai E-</w:t>
      </w:r>
      <w:r>
        <w:t>Wallet</w:t>
      </w:r>
    </w:p>
    <w:p>
      <w:pPr>
        <w:pStyle w:val="style0"/>
        <w:jc w:val="both"/>
        <w:rPr/>
      </w:pPr>
      <w:r>
        <w:t>E-</w:t>
      </w:r>
      <w:r>
        <w:t>wallet</w:t>
      </w:r>
      <w:r>
        <w:t xml:space="preserve"> adalah alat pembayaran digital untuk menyimpan dan menggunakan uang secara elektronik. Permasalahan </w:t>
      </w:r>
      <w:r>
        <w:t>fiqihnya</w:t>
      </w:r>
      <w:r>
        <w:t xml:space="preserve"> terletak pada akad, potensi riba, </w:t>
      </w:r>
      <w:r>
        <w:t>gharar</w:t>
      </w:r>
      <w:r>
        <w:t>, dan kejelasan transaksi dalam penggunaannya.</w:t>
      </w:r>
      <w:r>
        <w:rPr>
          <w:rStyle w:val="style38"/>
        </w:rPr>
        <w:footnoteReference w:id="1"/>
      </w:r>
    </w:p>
    <w:p>
      <w:pPr>
        <w:pStyle w:val="style0"/>
        <w:jc w:val="both"/>
        <w:rPr/>
      </w:pPr>
      <w:r>
        <w:t>2.Pendapat Pertama (Membolehkan)</w:t>
      </w:r>
    </w:p>
    <w:p>
      <w:pPr>
        <w:pStyle w:val="style0"/>
        <w:jc w:val="both"/>
        <w:rPr/>
      </w:pPr>
      <w:r>
        <w:t>Sebagian ulama kontemporer membolehkan penggunaan e-</w:t>
      </w:r>
      <w:r>
        <w:t>wallet</w:t>
      </w:r>
      <w:r>
        <w:t xml:space="preserve"> karena dianggap sebagai alat (wasilah) dalam transaksi, bukan akad yang haram. Selama tidak ada riba, penipuan, dan </w:t>
      </w:r>
      <w:r>
        <w:t>gharar</w:t>
      </w:r>
      <w:r>
        <w:t>, maka hukumnya boleh.</w:t>
      </w:r>
      <w:r>
        <w:rPr>
          <w:rStyle w:val="style38"/>
        </w:rPr>
        <w:footnoteReference w:id="2"/>
      </w:r>
    </w:p>
    <w:p>
      <w:pPr>
        <w:pStyle w:val="style0"/>
        <w:jc w:val="both"/>
        <w:rPr/>
      </w:pPr>
      <w:r>
        <w:t>3. Pendapat Kedua (Melarang / Membatasi)</w:t>
      </w:r>
    </w:p>
    <w:p>
      <w:pPr>
        <w:pStyle w:val="style0"/>
        <w:jc w:val="both"/>
        <w:rPr/>
      </w:pPr>
      <w:r>
        <w:t>Sebagian ulama melarang atau membatasi penggunaan e-</w:t>
      </w:r>
      <w:r>
        <w:t>wallet</w:t>
      </w:r>
      <w:r>
        <w:t xml:space="preserve"> karena adanya potensi riba (ca</w:t>
      </w:r>
      <w:r>
        <w:t>shback</w:t>
      </w:r>
      <w:r>
        <w:t xml:space="preserve"> tertentu), </w:t>
      </w:r>
      <w:r>
        <w:t>gharar</w:t>
      </w:r>
      <w:r>
        <w:t xml:space="preserve"> (</w:t>
      </w:r>
      <w:r>
        <w:t>ketidakjelasan</w:t>
      </w:r>
      <w:r>
        <w:t xml:space="preserve"> sistem), dan akad yang tidak transparan</w:t>
      </w:r>
      <w:r>
        <w:t xml:space="preserve">. </w:t>
      </w:r>
      <w:r>
        <w:rPr>
          <w:rStyle w:val="style38"/>
        </w:rPr>
        <w:footnoteReference w:id="3"/>
      </w:r>
    </w:p>
    <w:p>
      <w:pPr>
        <w:pStyle w:val="style0"/>
        <w:jc w:val="both"/>
        <w:rPr/>
      </w:pPr>
      <w:r>
        <w:t>4. Dalil Pendapat Pertama</w:t>
      </w:r>
    </w:p>
    <w:p>
      <w:pPr>
        <w:pStyle w:val="style0"/>
        <w:jc w:val="both"/>
        <w:rPr/>
      </w:pPr>
      <w:r>
        <w:t>a. Al-</w:t>
      </w:r>
      <w:r>
        <w:t>Qur’an</w:t>
      </w:r>
    </w:p>
    <w:p>
      <w:pPr>
        <w:pStyle w:val="style0"/>
        <w:jc w:val="both"/>
        <w:rPr/>
      </w:pPr>
      <w:r>
        <w:t>*</w:t>
      </w:r>
      <w:r>
        <w:rPr>
          <w:rFonts w:ascii="Arial" w:cs="Arial" w:hAnsi="Arial"/>
        </w:rPr>
        <w:t>وَأَحَلَّ</w:t>
      </w:r>
      <w:r>
        <w:t xml:space="preserve"> </w:t>
      </w:r>
      <w:r>
        <w:rPr>
          <w:rFonts w:ascii="Arial" w:cs="Arial" w:hAnsi="Arial"/>
        </w:rPr>
        <w:t>اللَّهُ</w:t>
      </w:r>
      <w:r>
        <w:t xml:space="preserve"> </w:t>
      </w:r>
      <w:r>
        <w:rPr>
          <w:rFonts w:ascii="Arial" w:cs="Arial" w:hAnsi="Arial"/>
        </w:rPr>
        <w:t>الْبَيْعَ</w:t>
      </w:r>
      <w:r>
        <w:t xml:space="preserve"> </w:t>
      </w:r>
      <w:r>
        <w:rPr>
          <w:rFonts w:ascii="Arial" w:cs="Arial" w:hAnsi="Arial"/>
        </w:rPr>
        <w:t>وَحَرَّمَ</w:t>
      </w:r>
      <w:r>
        <w:t xml:space="preserve"> </w:t>
      </w:r>
      <w:r>
        <w:rPr>
          <w:rFonts w:ascii="Arial" w:cs="Arial" w:hAnsi="Arial"/>
        </w:rPr>
        <w:t>الرِّبَا</w:t>
      </w:r>
    </w:p>
    <w:p>
      <w:pPr>
        <w:pStyle w:val="style0"/>
        <w:jc w:val="both"/>
        <w:rPr/>
      </w:pPr>
      <w:r>
        <w:t>(QS. Al-</w:t>
      </w:r>
      <w:r>
        <w:t>Baqarah</w:t>
      </w:r>
      <w:r>
        <w:t>: 275)</w:t>
      </w:r>
    </w:p>
    <w:p>
      <w:pPr>
        <w:pStyle w:val="style0"/>
        <w:jc w:val="both"/>
        <w:rPr/>
      </w:pPr>
      <w:r>
        <w:t>“Allah menghalalkan jual beli dan mengharamkan riba.”</w:t>
      </w:r>
      <w:r>
        <w:rPr>
          <w:rStyle w:val="style38"/>
        </w:rPr>
        <w:footnoteReference w:id="4"/>
      </w:r>
    </w:p>
    <w:p>
      <w:pPr>
        <w:pStyle w:val="style0"/>
        <w:jc w:val="both"/>
        <w:rPr/>
      </w:pPr>
      <w:r>
        <w:t>b. Kaidah Fiqh</w:t>
      </w:r>
    </w:p>
    <w:p>
      <w:pPr>
        <w:pStyle w:val="style0"/>
        <w:jc w:val="both"/>
        <w:rPr/>
      </w:pPr>
      <w:r>
        <w:t>*</w:t>
      </w:r>
      <w:r>
        <w:rPr>
          <w:rFonts w:ascii="Arial" w:cs="Arial" w:hAnsi="Arial"/>
        </w:rPr>
        <w:t>الأصل</w:t>
      </w:r>
      <w:r>
        <w:t xml:space="preserve"> </w:t>
      </w:r>
      <w:r>
        <w:rPr>
          <w:rFonts w:ascii="Arial" w:cs="Arial" w:hAnsi="Arial"/>
        </w:rPr>
        <w:t>في</w:t>
      </w:r>
      <w:r>
        <w:t xml:space="preserve"> </w:t>
      </w:r>
      <w:r>
        <w:rPr>
          <w:rFonts w:ascii="Arial" w:cs="Arial" w:hAnsi="Arial"/>
        </w:rPr>
        <w:t>المعاملات</w:t>
      </w:r>
      <w:r>
        <w:t xml:space="preserve"> </w:t>
      </w:r>
      <w:r>
        <w:rPr>
          <w:rFonts w:ascii="Arial" w:cs="Arial" w:hAnsi="Arial"/>
        </w:rPr>
        <w:t>الإباحة</w:t>
      </w:r>
      <w:r>
        <w:t xml:space="preserve"> </w:t>
      </w:r>
      <w:r>
        <w:rPr>
          <w:rFonts w:ascii="Arial" w:cs="Arial" w:hAnsi="Arial"/>
        </w:rPr>
        <w:t>حتى</w:t>
      </w:r>
      <w:r>
        <w:t xml:space="preserve"> </w:t>
      </w:r>
      <w:r>
        <w:rPr>
          <w:rFonts w:ascii="Arial" w:cs="Arial" w:hAnsi="Arial"/>
        </w:rPr>
        <w:t>يدل</w:t>
      </w:r>
      <w:r>
        <w:t xml:space="preserve"> </w:t>
      </w:r>
      <w:r>
        <w:rPr>
          <w:rFonts w:ascii="Arial" w:cs="Arial" w:hAnsi="Arial"/>
        </w:rPr>
        <w:t>الدليل</w:t>
      </w:r>
      <w:r>
        <w:t xml:space="preserve"> </w:t>
      </w:r>
      <w:r>
        <w:rPr>
          <w:rFonts w:ascii="Arial" w:cs="Arial" w:hAnsi="Arial"/>
        </w:rPr>
        <w:t>على</w:t>
      </w:r>
      <w:r>
        <w:t xml:space="preserve"> </w:t>
      </w:r>
      <w:r>
        <w:rPr>
          <w:rFonts w:ascii="Arial" w:cs="Arial" w:hAnsi="Arial"/>
        </w:rPr>
        <w:t>التحريم</w:t>
      </w:r>
    </w:p>
    <w:p>
      <w:pPr>
        <w:pStyle w:val="style0"/>
        <w:jc w:val="both"/>
        <w:rPr/>
      </w:pPr>
      <w:r>
        <w:t>“Hukum asal muamalah adalah boleh sampai ada dalil yang mengharamkan.”</w:t>
      </w:r>
      <w:r>
        <w:rPr>
          <w:rStyle w:val="style38"/>
        </w:rPr>
        <w:footnoteReference w:id="5"/>
      </w:r>
    </w:p>
    <w:p>
      <w:pPr>
        <w:pStyle w:val="style0"/>
        <w:jc w:val="both"/>
        <w:rPr/>
      </w:pPr>
      <w:r>
        <w:t>5. Dalil Pendapat Kedua</w:t>
      </w:r>
    </w:p>
    <w:p>
      <w:pPr>
        <w:pStyle w:val="style0"/>
        <w:jc w:val="both"/>
        <w:rPr/>
      </w:pPr>
      <w:r>
        <w:t xml:space="preserve"> </w:t>
      </w:r>
      <w:r>
        <w:t xml:space="preserve">a. </w:t>
      </w:r>
      <w:r>
        <w:t xml:space="preserve"> Hadis </w:t>
      </w:r>
      <w:r>
        <w:t>Gharar</w:t>
      </w:r>
    </w:p>
    <w:p>
      <w:pPr>
        <w:pStyle w:val="style0"/>
        <w:jc w:val="both"/>
        <w:rPr/>
      </w:pPr>
      <w:r>
        <w:t>*</w:t>
      </w:r>
      <w:r>
        <w:rPr>
          <w:rFonts w:ascii="Arial" w:cs="Arial" w:hAnsi="Arial"/>
        </w:rPr>
        <w:t>نَهَى</w:t>
      </w:r>
      <w:r>
        <w:t xml:space="preserve"> </w:t>
      </w:r>
      <w:r>
        <w:rPr>
          <w:rFonts w:ascii="Arial" w:cs="Arial" w:hAnsi="Arial"/>
        </w:rPr>
        <w:t>رَسُولُ</w:t>
      </w:r>
      <w:r>
        <w:t xml:space="preserve"> </w:t>
      </w:r>
      <w:r>
        <w:rPr>
          <w:rFonts w:ascii="Arial" w:cs="Arial" w:hAnsi="Arial"/>
        </w:rPr>
        <w:t>اللَّهِ</w:t>
      </w:r>
      <w:r>
        <w:t xml:space="preserve"> </w:t>
      </w:r>
      <w:r>
        <w:rPr>
          <w:rFonts w:ascii="Arial" w:cs="Arial" w:hAnsi="Arial"/>
        </w:rPr>
        <w:t>ﷺ</w:t>
      </w:r>
      <w:r>
        <w:t xml:space="preserve"> </w:t>
      </w:r>
      <w:r>
        <w:rPr>
          <w:rFonts w:ascii="Arial" w:cs="Arial" w:hAnsi="Arial"/>
        </w:rPr>
        <w:t>عَنْ</w:t>
      </w:r>
      <w:r>
        <w:t xml:space="preserve"> </w:t>
      </w:r>
      <w:r>
        <w:rPr>
          <w:rFonts w:ascii="Arial" w:cs="Arial" w:hAnsi="Arial"/>
        </w:rPr>
        <w:t>بَيْعِ</w:t>
      </w:r>
      <w:r>
        <w:t xml:space="preserve"> </w:t>
      </w:r>
      <w:r>
        <w:rPr>
          <w:rFonts w:ascii="Arial" w:cs="Arial" w:hAnsi="Arial"/>
        </w:rPr>
        <w:t>الْغَرَرِ</w:t>
      </w:r>
      <w:r>
        <w:t>(</w:t>
      </w:r>
      <w:r>
        <w:rPr>
          <w:rFonts w:ascii="Arial" w:cs="Arial" w:hAnsi="Arial"/>
        </w:rPr>
        <w:t>رواه</w:t>
      </w:r>
      <w:r>
        <w:t xml:space="preserve"> </w:t>
      </w:r>
      <w:r>
        <w:rPr>
          <w:rFonts w:ascii="Arial" w:cs="Arial" w:hAnsi="Arial"/>
        </w:rPr>
        <w:t>مسلم</w:t>
      </w:r>
      <w:r>
        <w:t>)</w:t>
      </w:r>
    </w:p>
    <w:p>
      <w:pPr>
        <w:pStyle w:val="style0"/>
        <w:jc w:val="both"/>
        <w:rPr>
          <w:b/>
          <w:bCs/>
        </w:rPr>
      </w:pPr>
      <w:r>
        <w:t xml:space="preserve"> “Rasulullah </w:t>
      </w:r>
      <w:r>
        <w:rPr>
          <w:rFonts w:ascii="Arial" w:cs="Arial" w:hAnsi="Arial"/>
        </w:rPr>
        <w:t>ﷺ</w:t>
      </w:r>
      <w:r>
        <w:t xml:space="preserve"> melarang jual beli yang mengandung </w:t>
      </w:r>
      <w:r>
        <w:t>gharar</w:t>
      </w:r>
      <w:r>
        <w:t>.”</w:t>
      </w:r>
      <w:r>
        <w:rPr>
          <w:rStyle w:val="style38"/>
        </w:rPr>
        <w:footnoteReference w:id="6"/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>c. Hadis Riba</w:t>
      </w:r>
    </w:p>
    <w:p>
      <w:pPr>
        <w:pStyle w:val="style0"/>
        <w:jc w:val="both"/>
        <w:rPr/>
      </w:pPr>
      <w:r>
        <w:t>*</w:t>
      </w:r>
      <w:r>
        <w:rPr>
          <w:rFonts w:ascii="Arial" w:cs="Arial" w:hAnsi="Arial"/>
        </w:rPr>
        <w:t>لَعَنَ</w:t>
      </w:r>
      <w:r>
        <w:t xml:space="preserve"> </w:t>
      </w:r>
      <w:r>
        <w:rPr>
          <w:rFonts w:ascii="Arial" w:cs="Arial" w:hAnsi="Arial"/>
        </w:rPr>
        <w:t>رَسُولُ</w:t>
      </w:r>
      <w:r>
        <w:t xml:space="preserve"> </w:t>
      </w:r>
      <w:r>
        <w:rPr>
          <w:rFonts w:ascii="Arial" w:cs="Arial" w:hAnsi="Arial"/>
        </w:rPr>
        <w:t>اللَّهِ</w:t>
      </w:r>
      <w:r>
        <w:t xml:space="preserve"> </w:t>
      </w:r>
      <w:r>
        <w:rPr>
          <w:rFonts w:ascii="Arial" w:cs="Arial" w:hAnsi="Arial"/>
        </w:rPr>
        <w:t>ﷺ</w:t>
      </w:r>
      <w:r>
        <w:t xml:space="preserve"> </w:t>
      </w:r>
      <w:r>
        <w:rPr>
          <w:rFonts w:ascii="Arial" w:cs="Arial" w:hAnsi="Arial"/>
        </w:rPr>
        <w:t>آكِلَ</w:t>
      </w:r>
      <w:r>
        <w:t xml:space="preserve"> </w:t>
      </w:r>
      <w:r>
        <w:rPr>
          <w:rFonts w:ascii="Arial" w:cs="Arial" w:hAnsi="Arial"/>
        </w:rPr>
        <w:t>الرِّبَا</w:t>
      </w:r>
      <w:r>
        <w:t>(</w:t>
      </w:r>
      <w:r>
        <w:rPr>
          <w:rFonts w:ascii="Arial" w:cs="Arial" w:hAnsi="Arial"/>
        </w:rPr>
        <w:t>رواه</w:t>
      </w:r>
      <w:r>
        <w:t xml:space="preserve"> </w:t>
      </w:r>
      <w:r>
        <w:rPr>
          <w:rFonts w:ascii="Arial" w:cs="Arial" w:hAnsi="Arial"/>
        </w:rPr>
        <w:t>مسلم</w:t>
      </w:r>
      <w:r>
        <w:t>)</w:t>
      </w:r>
    </w:p>
    <w:p>
      <w:pPr>
        <w:pStyle w:val="style0"/>
        <w:jc w:val="both"/>
        <w:rPr/>
      </w:pPr>
      <w:r>
        <w:t xml:space="preserve">“Rasulullah </w:t>
      </w:r>
      <w:r>
        <w:rPr>
          <w:rFonts w:ascii="Arial" w:cs="Arial" w:hAnsi="Arial"/>
        </w:rPr>
        <w:t>ﷺ</w:t>
      </w:r>
      <w:r>
        <w:t xml:space="preserve"> melaknat pelaku riba.”</w:t>
      </w:r>
      <w:r>
        <w:rPr>
          <w:rStyle w:val="style38"/>
        </w:rPr>
        <w:footnoteReference w:id="7"/>
      </w:r>
    </w:p>
    <w:p>
      <w:pPr>
        <w:pStyle w:val="style0"/>
        <w:jc w:val="both"/>
        <w:rPr/>
      </w:pPr>
      <w:r>
        <w:t>6. Metode Pendapat Pertama</w:t>
      </w:r>
    </w:p>
    <w:p>
      <w:pPr>
        <w:pStyle w:val="style0"/>
        <w:jc w:val="both"/>
        <w:rPr/>
      </w:pPr>
      <w:r>
        <w:t>Menggunakan:</w:t>
      </w:r>
    </w:p>
    <w:p>
      <w:pPr>
        <w:pStyle w:val="style0"/>
        <w:jc w:val="both"/>
        <w:rPr/>
      </w:pPr>
      <w:r>
        <w:t>Qiyas</w:t>
      </w:r>
      <w:r>
        <w:t xml:space="preserve"> (analogi) e-</w:t>
      </w:r>
      <w:r>
        <w:t>wallet</w:t>
      </w:r>
      <w:r>
        <w:t xml:space="preserve"> dianalogikan dengan alat pembayaran modern</w:t>
      </w:r>
    </w:p>
    <w:p>
      <w:pPr>
        <w:pStyle w:val="style0"/>
        <w:jc w:val="both"/>
        <w:rPr/>
      </w:pPr>
      <w:r>
        <w:t>Istishabhukum</w:t>
      </w:r>
      <w:r>
        <w:t xml:space="preserve"> asal muamalah adalah boleh</w:t>
      </w:r>
    </w:p>
    <w:p>
      <w:pPr>
        <w:pStyle w:val="style0"/>
        <w:jc w:val="both"/>
        <w:rPr/>
      </w:pPr>
      <w:r>
        <w:t xml:space="preserve">Maslahah </w:t>
      </w:r>
      <w:r>
        <w:t>mursalah</w:t>
      </w:r>
      <w:r>
        <w:t xml:space="preserve"> kemanfaatan bagi masyarakat</w:t>
      </w:r>
      <w:r>
        <w:rPr>
          <w:rStyle w:val="style38"/>
        </w:rPr>
        <w:footnoteReference w:id="8"/>
      </w:r>
    </w:p>
    <w:p>
      <w:pPr>
        <w:pStyle w:val="style0"/>
        <w:jc w:val="both"/>
        <w:rPr/>
      </w:pPr>
      <w:r>
        <w:t>7. Metode Pendapat Kedua</w:t>
      </w:r>
    </w:p>
    <w:p>
      <w:pPr>
        <w:pStyle w:val="style0"/>
        <w:jc w:val="both"/>
        <w:rPr/>
      </w:pPr>
      <w:r>
        <w:t>Menggunakan:</w:t>
      </w:r>
    </w:p>
    <w:p>
      <w:pPr>
        <w:pStyle w:val="style0"/>
        <w:jc w:val="both"/>
        <w:rPr/>
      </w:pPr>
      <w:r>
        <w:t>S</w:t>
      </w:r>
      <w:r>
        <w:t>add</w:t>
      </w:r>
      <w:r>
        <w:t xml:space="preserve"> </w:t>
      </w:r>
      <w:r>
        <w:t>az-zari’ah</w:t>
      </w:r>
      <w:r>
        <w:t xml:space="preserve"> menutup jalan menuju riba</w:t>
      </w:r>
    </w:p>
    <w:p>
      <w:pPr>
        <w:pStyle w:val="style0"/>
        <w:jc w:val="both"/>
        <w:rPr/>
      </w:pPr>
      <w:r>
        <w:t>i</w:t>
      </w:r>
      <w:r>
        <w:t>htiyath</w:t>
      </w:r>
      <w:r>
        <w:t xml:space="preserve"> (kehati-hatian)</w:t>
      </w:r>
    </w:p>
    <w:p>
      <w:pPr>
        <w:pStyle w:val="style0"/>
        <w:jc w:val="both"/>
        <w:rPr/>
      </w:pPr>
      <w:r>
        <w:t xml:space="preserve"> Penekanan pada larangan </w:t>
      </w:r>
      <w:r>
        <w:t>gharar</w:t>
      </w:r>
      <w:r>
        <w:t xml:space="preserve"> dan riba</w:t>
      </w:r>
      <w:r>
        <w:rPr>
          <w:rStyle w:val="style38"/>
        </w:rPr>
        <w:footnoteReference w:id="9"/>
      </w:r>
    </w:p>
    <w:p>
      <w:pPr>
        <w:pStyle w:val="style0"/>
        <w:jc w:val="both"/>
        <w:rPr/>
      </w:pPr>
      <w:r>
        <w:t>8. Alasan Ulama yang Memperbolehkan</w:t>
      </w:r>
    </w:p>
    <w:p>
      <w:pPr>
        <w:pStyle w:val="style0"/>
        <w:jc w:val="both"/>
        <w:rPr/>
      </w:pPr>
      <w:r>
        <w:t>Karena e-</w:t>
      </w:r>
      <w:r>
        <w:t>wallet</w:t>
      </w:r>
      <w:r>
        <w:t xml:space="preserve"> hanya alat, bukan transaksi haram. Jika bebas dari riba dan </w:t>
      </w:r>
      <w:r>
        <w:t>gharar</w:t>
      </w:r>
      <w:r>
        <w:t>, maka kembali ke hukum asal yaitu boleh .</w:t>
      </w:r>
      <w:r>
        <w:rPr>
          <w:rStyle w:val="style38"/>
        </w:rPr>
        <w:footnoteReference w:id="10"/>
      </w:r>
    </w:p>
    <w:p>
      <w:pPr>
        <w:pStyle w:val="style0"/>
        <w:jc w:val="both"/>
        <w:rPr/>
      </w:pPr>
      <w:r>
        <w:t>9. Alasan Ulama yang Melarang</w:t>
      </w:r>
    </w:p>
    <w:p>
      <w:pPr>
        <w:pStyle w:val="style0"/>
        <w:jc w:val="both"/>
        <w:rPr/>
      </w:pPr>
      <w:r>
        <w:t>Karena banyak praktik e-</w:t>
      </w:r>
      <w:r>
        <w:t>wallet</w:t>
      </w:r>
      <w:r>
        <w:t xml:space="preserve"> mengandung:</w:t>
      </w:r>
    </w:p>
    <w:p>
      <w:pPr>
        <w:pStyle w:val="style0"/>
        <w:jc w:val="both"/>
        <w:rPr/>
      </w:pPr>
      <w:r>
        <w:t xml:space="preserve">* </w:t>
      </w:r>
      <w:r>
        <w:t>Cashback</w:t>
      </w:r>
      <w:r>
        <w:t xml:space="preserve"> mencurigakan (mirip riba)</w:t>
      </w:r>
    </w:p>
    <w:p>
      <w:pPr>
        <w:pStyle w:val="style0"/>
        <w:jc w:val="both"/>
        <w:rPr/>
      </w:pPr>
      <w:r>
        <w:t>* Sistem tidak transparan</w:t>
      </w:r>
    </w:p>
    <w:p>
      <w:pPr>
        <w:pStyle w:val="style0"/>
        <w:jc w:val="both"/>
        <w:rPr/>
      </w:pPr>
      <w:r>
        <w:t>* Potensi penyalahgunaan dana</w:t>
      </w:r>
      <w:r>
        <w:rPr>
          <w:rStyle w:val="style38"/>
        </w:rPr>
        <w:footnoteReference w:id="11"/>
      </w:r>
    </w:p>
    <w:p>
      <w:pPr>
        <w:pStyle w:val="style0"/>
        <w:jc w:val="both"/>
        <w:rPr/>
      </w:pPr>
      <w:r>
        <w:t>10. Kelemahan Pendapat Pertama</w:t>
      </w:r>
    </w:p>
    <w:p>
      <w:pPr>
        <w:pStyle w:val="style0"/>
        <w:jc w:val="both"/>
        <w:rPr/>
      </w:pPr>
      <w:r>
        <w:t>Kurang memperhatikan praktik nyata di lapangan yang bisa mengandung riba terselubung.</w:t>
      </w:r>
      <w:r>
        <w:rPr>
          <w:rStyle w:val="style38"/>
        </w:rPr>
        <w:footnoteReference w:id="12"/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>11. Kelemahan Pendapat Kedua</w:t>
      </w:r>
    </w:p>
    <w:p>
      <w:pPr>
        <w:pStyle w:val="style0"/>
        <w:jc w:val="both"/>
        <w:rPr/>
      </w:pPr>
      <w:r>
        <w:t>Terlalu ketat sehingga menghambat perkembangan teknologi dan kemudahan transaksi</w:t>
      </w:r>
      <w:r>
        <w:rPr>
          <w:rStyle w:val="style38"/>
        </w:rPr>
        <w:footnoteReference w:id="13"/>
      </w:r>
    </w:p>
    <w:p>
      <w:pPr>
        <w:pStyle w:val="style0"/>
        <w:jc w:val="both"/>
        <w:rPr/>
      </w:pPr>
      <w:r>
        <w:t>12. Kekuatan Pendapat Pertama</w:t>
      </w:r>
    </w:p>
    <w:p>
      <w:pPr>
        <w:pStyle w:val="style0"/>
        <w:jc w:val="both"/>
        <w:rPr/>
      </w:pPr>
      <w:r>
        <w:t xml:space="preserve">* Sesuai kaidah </w:t>
      </w:r>
      <w:r>
        <w:t>fiqh</w:t>
      </w:r>
    </w:p>
    <w:p>
      <w:pPr>
        <w:pStyle w:val="style0"/>
        <w:jc w:val="both"/>
        <w:rPr/>
      </w:pPr>
      <w:r>
        <w:t>* Fleksibel terhadap perkembangan zaman</w:t>
      </w:r>
    </w:p>
    <w:p>
      <w:pPr>
        <w:pStyle w:val="style0"/>
        <w:jc w:val="both"/>
        <w:rPr/>
      </w:pPr>
      <w:r>
        <w:t>* Memudahkan umat</w:t>
      </w:r>
      <w:r>
        <w:rPr>
          <w:rStyle w:val="style38"/>
        </w:rPr>
        <w:footnoteReference w:id="14"/>
      </w:r>
    </w:p>
    <w:p>
      <w:pPr>
        <w:pStyle w:val="style0"/>
        <w:jc w:val="both"/>
        <w:rPr/>
      </w:pPr>
      <w:r>
        <w:t>13. Kekuatan Pendapat Kedua</w:t>
      </w:r>
    </w:p>
    <w:p>
      <w:pPr>
        <w:pStyle w:val="style0"/>
        <w:jc w:val="both"/>
        <w:rPr/>
      </w:pPr>
      <w:r>
        <w:t>* Lebih hati-hati dalam menjaga dari riba</w:t>
      </w:r>
    </w:p>
    <w:p>
      <w:pPr>
        <w:pStyle w:val="style0"/>
        <w:jc w:val="both"/>
        <w:rPr/>
      </w:pPr>
      <w:r>
        <w:t>* Menutup potensi penyimpangan</w:t>
      </w:r>
      <w:r>
        <w:rPr>
          <w:rStyle w:val="style38"/>
        </w:rPr>
        <w:footnoteReference w:id="15"/>
      </w:r>
    </w:p>
    <w:p>
      <w:pPr>
        <w:pStyle w:val="style0"/>
        <w:jc w:val="both"/>
        <w:rPr/>
      </w:pPr>
      <w:r>
        <w:t>14. Persamaan Kedua Pendapat</w:t>
      </w:r>
    </w:p>
    <w:p>
      <w:pPr>
        <w:pStyle w:val="style0"/>
        <w:jc w:val="both"/>
        <w:rPr/>
      </w:pPr>
      <w:r>
        <w:t>* Sama-sama melarang riba</w:t>
      </w:r>
    </w:p>
    <w:p>
      <w:pPr>
        <w:pStyle w:val="style0"/>
        <w:jc w:val="both"/>
        <w:rPr/>
      </w:pPr>
      <w:r>
        <w:t xml:space="preserve">* Sama-sama melarang </w:t>
      </w:r>
      <w:r>
        <w:t>gharar</w:t>
      </w:r>
    </w:p>
    <w:p>
      <w:pPr>
        <w:pStyle w:val="style0"/>
        <w:jc w:val="both"/>
        <w:rPr/>
      </w:pPr>
      <w:r>
        <w:t>* Sama-sama menjaga keadilan dalam transaksi</w:t>
      </w:r>
      <w:r>
        <w:rPr>
          <w:rStyle w:val="style38"/>
        </w:rPr>
        <w:footnoteReference w:id="16"/>
      </w:r>
    </w:p>
    <w:p>
      <w:pPr>
        <w:pStyle w:val="style0"/>
        <w:jc w:val="both"/>
        <w:rPr/>
      </w:pPr>
      <w:r>
        <w:t>15. Ulama yang Memperbolehkan</w:t>
      </w:r>
    </w:p>
    <w:p>
      <w:pPr>
        <w:pStyle w:val="style0"/>
        <w:jc w:val="both"/>
        <w:rPr/>
      </w:pPr>
      <w:r>
        <w:t>* Ulama Dewan Syariah Nasional (DSN-MUI)</w:t>
      </w:r>
    </w:p>
    <w:p>
      <w:pPr>
        <w:pStyle w:val="style0"/>
        <w:jc w:val="both"/>
        <w:rPr/>
      </w:pPr>
      <w:r>
        <w:t xml:space="preserve">* Yusuf </w:t>
      </w:r>
      <w:r>
        <w:t>al-Qaradawi</w:t>
      </w:r>
    </w:p>
    <w:p>
      <w:pPr>
        <w:pStyle w:val="style0"/>
        <w:jc w:val="both"/>
        <w:rPr/>
      </w:pPr>
      <w:r>
        <w:t xml:space="preserve">* </w:t>
      </w:r>
      <w:r>
        <w:t>Wahbah</w:t>
      </w:r>
      <w:r>
        <w:t xml:space="preserve"> </w:t>
      </w:r>
      <w:r>
        <w:t>az-Zuhaili</w:t>
      </w:r>
      <w:r>
        <w:rPr>
          <w:rStyle w:val="style38"/>
        </w:rPr>
        <w:footnoteReference w:id="17"/>
      </w:r>
    </w:p>
    <w:p>
      <w:pPr>
        <w:pStyle w:val="style0"/>
        <w:jc w:val="both"/>
        <w:rPr/>
      </w:pPr>
      <w:r>
        <w:t>16. Ulama yang Melarang</w:t>
      </w:r>
    </w:p>
    <w:p>
      <w:pPr>
        <w:pStyle w:val="style0"/>
        <w:jc w:val="both"/>
        <w:rPr/>
      </w:pPr>
      <w:r>
        <w:t xml:space="preserve">* Sebagian ulama </w:t>
      </w:r>
      <w:r>
        <w:t>salafi</w:t>
      </w:r>
      <w:r>
        <w:t xml:space="preserve"> kontemporer</w:t>
      </w:r>
    </w:p>
    <w:p>
      <w:pPr>
        <w:pStyle w:val="style0"/>
        <w:jc w:val="both"/>
        <w:rPr/>
      </w:pPr>
      <w:r>
        <w:t xml:space="preserve">* Abd </w:t>
      </w:r>
      <w:r>
        <w:t>al</w:t>
      </w:r>
      <w:r>
        <w:t xml:space="preserve">-Aziz </w:t>
      </w:r>
      <w:r>
        <w:t>ibn</w:t>
      </w:r>
      <w:r>
        <w:t xml:space="preserve"> </w:t>
      </w:r>
      <w:r>
        <w:t>Baz</w:t>
      </w:r>
      <w:r>
        <w:t xml:space="preserve"> (dalam prinsip kehati-hatian riba)</w:t>
      </w:r>
    </w:p>
    <w:p>
      <w:pPr>
        <w:pStyle w:val="style0"/>
        <w:jc w:val="both"/>
        <w:rPr/>
      </w:pPr>
      <w:r>
        <w:t xml:space="preserve">* Muhammad </w:t>
      </w:r>
      <w:r>
        <w:t>ibn</w:t>
      </w:r>
      <w:r>
        <w:t xml:space="preserve"> Salih </w:t>
      </w:r>
      <w:r>
        <w:t>al-Uthaymin</w:t>
      </w:r>
      <w:r>
        <w:rPr>
          <w:rStyle w:val="style38"/>
        </w:rPr>
        <w:footnoteReference w:id="18"/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>17. Analisis Pendapat Pribadi</w:t>
      </w:r>
    </w:p>
    <w:p>
      <w:pPr>
        <w:pStyle w:val="style0"/>
        <w:jc w:val="both"/>
        <w:rPr/>
      </w:pPr>
      <w:r>
        <w:t>Pendapat yang lebih kuat adalah membolehkan dengan syara</w:t>
      </w:r>
      <w:r>
        <w:t xml:space="preserve">t, </w:t>
      </w:r>
      <w:r>
        <w:t xml:space="preserve"> karena:</w:t>
      </w:r>
    </w:p>
    <w:p>
      <w:pPr>
        <w:pStyle w:val="style0"/>
        <w:jc w:val="both"/>
        <w:rPr/>
      </w:pPr>
      <w:r>
        <w:t xml:space="preserve">* Sesuai kaidah </w:t>
      </w:r>
      <w:r>
        <w:rPr>
          <w:rFonts w:ascii="Arial" w:cs="Arial" w:hAnsi="Arial"/>
        </w:rPr>
        <w:t>الأصل</w:t>
      </w:r>
      <w:r>
        <w:t xml:space="preserve"> </w:t>
      </w:r>
      <w:r>
        <w:rPr>
          <w:rFonts w:ascii="Arial" w:cs="Arial" w:hAnsi="Arial"/>
        </w:rPr>
        <w:t>في</w:t>
      </w:r>
      <w:r>
        <w:t xml:space="preserve"> </w:t>
      </w:r>
      <w:r>
        <w:rPr>
          <w:rFonts w:ascii="Arial" w:cs="Arial" w:hAnsi="Arial"/>
        </w:rPr>
        <w:t>المعاملات</w:t>
      </w:r>
      <w:r>
        <w:t xml:space="preserve"> </w:t>
      </w:r>
      <w:r>
        <w:rPr>
          <w:rFonts w:ascii="Arial" w:cs="Arial" w:hAnsi="Arial"/>
        </w:rPr>
        <w:t>الإباحة</w:t>
      </w:r>
    </w:p>
    <w:p>
      <w:pPr>
        <w:pStyle w:val="style0"/>
        <w:jc w:val="both"/>
        <w:rPr/>
      </w:pPr>
      <w:r>
        <w:t>* Relevan dengan kebutuhan zaman modern</w:t>
      </w:r>
    </w:p>
    <w:p>
      <w:pPr>
        <w:pStyle w:val="style0"/>
        <w:jc w:val="both"/>
        <w:rPr/>
      </w:pPr>
      <w:r>
        <w:t>* Didukung oleh banyak ulama kontemporer</w:t>
      </w:r>
    </w:p>
    <w:p>
      <w:pPr>
        <w:pStyle w:val="style0"/>
        <w:jc w:val="both"/>
        <w:rPr/>
      </w:pPr>
      <w:r>
        <w:t>Namun, pendapat kedua tetap penting sebagai kontrol agar tidak terjerumus pada riba.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20b00040200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43" w:usb2="00000009" w:usb3="00000000" w:csb0="000001FF" w:csb1="00000000"/>
  </w:font>
  <w:font w:name="Aptos Display">
    <w:altName w:val=""/>
    <w:panose1 w:val="02110004020002020204"/>
    <w:charset w:val="00"/>
    <w:family w:val="auto"/>
    <w:pitch w:val="default"/>
  </w:font>
</w:fonts>
</file>

<file path=word/footnotes.xml><?xml version="1.0" encoding="utf-8"?>
<w:footnotes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footnote w:id="1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t>Wahbah</w:t>
      </w:r>
      <w:r>
        <w:t xml:space="preserve"> Az-</w:t>
      </w:r>
      <w:r>
        <w:t>Zuhaili</w:t>
      </w:r>
      <w:r>
        <w:t xml:space="preserve">, Al-Fiqh </w:t>
      </w:r>
      <w:r>
        <w:t>Al-Islami</w:t>
      </w:r>
      <w:r>
        <w:t xml:space="preserve"> </w:t>
      </w:r>
      <w:r>
        <w:t>wa</w:t>
      </w:r>
      <w:r>
        <w:t xml:space="preserve"> </w:t>
      </w:r>
      <w:r>
        <w:t>Adillatuhu</w:t>
      </w:r>
      <w:r>
        <w:t>.</w:t>
      </w:r>
    </w:p>
  </w:footnote>
  <w:footnote w:id="2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t>Fatwa DSN-MUI No. 116/DSN-MUI/IX/2017.</w:t>
      </w:r>
    </w:p>
  </w:footnote>
  <w:footnote w:id="3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t>Yusuf Al-</w:t>
      </w:r>
      <w:r>
        <w:t>Qaradawi</w:t>
      </w:r>
      <w:r>
        <w:t>, Fiqh Muamalah</w:t>
      </w:r>
    </w:p>
    <w:p>
      <w:pPr>
        <w:pStyle w:val="style29"/>
        <w:rPr/>
      </w:pPr>
    </w:p>
  </w:footnote>
  <w:footnote w:id="4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t>QS. Al-</w:t>
      </w:r>
      <w:r>
        <w:t>Baqarah</w:t>
      </w:r>
      <w:r>
        <w:t>: 275.</w:t>
      </w:r>
    </w:p>
    <w:p>
      <w:pPr>
        <w:pStyle w:val="style29"/>
        <w:rPr/>
      </w:pPr>
    </w:p>
  </w:footnote>
  <w:footnote w:id="5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t xml:space="preserve">Abdul </w:t>
      </w:r>
      <w:r>
        <w:t>Wahhab</w:t>
      </w:r>
      <w:r>
        <w:t xml:space="preserve"> </w:t>
      </w:r>
      <w:r>
        <w:t>Khallaf</w:t>
      </w:r>
      <w:r>
        <w:t xml:space="preserve">, Ilmu </w:t>
      </w:r>
      <w:r>
        <w:t>Ushul</w:t>
      </w:r>
      <w:r>
        <w:t xml:space="preserve"> Fiqh</w:t>
      </w:r>
    </w:p>
  </w:footnote>
  <w:footnote w:id="6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t>HR. Muslim</w:t>
      </w:r>
    </w:p>
  </w:footnote>
  <w:footnote w:id="7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t>HR. Muslim</w:t>
      </w:r>
    </w:p>
  </w:footnote>
  <w:footnote w:id="8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t>Asy-</w:t>
      </w:r>
      <w:r>
        <w:t>Syatibi</w:t>
      </w:r>
      <w:r>
        <w:t>, Al-</w:t>
      </w:r>
      <w:r>
        <w:t>Muwafaqat</w:t>
      </w:r>
    </w:p>
  </w:footnote>
  <w:footnote w:id="9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t>Ibid</w:t>
      </w:r>
    </w:p>
  </w:footnote>
  <w:footnote w:id="10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t>DSN-MUI</w:t>
      </w:r>
    </w:p>
  </w:footnote>
  <w:footnote w:id="11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t>Yusuf Al-</w:t>
      </w:r>
      <w:r>
        <w:t>Qaradawi</w:t>
      </w:r>
    </w:p>
  </w:footnote>
  <w:footnote w:id="12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t xml:space="preserve">Analisis </w:t>
      </w:r>
      <w:r>
        <w:t>fiqh</w:t>
      </w:r>
      <w:r>
        <w:t xml:space="preserve"> kontemporer.</w:t>
      </w:r>
    </w:p>
  </w:footnote>
  <w:footnote w:id="13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t>Ibid</w:t>
      </w:r>
    </w:p>
  </w:footnote>
  <w:footnote w:id="14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t xml:space="preserve">Kaidah </w:t>
      </w:r>
      <w:r>
        <w:t>fiqh</w:t>
      </w:r>
      <w:r>
        <w:t xml:space="preserve"> muamalah.</w:t>
      </w:r>
    </w:p>
  </w:footnote>
  <w:footnote w:id="15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t xml:space="preserve">Prinsip </w:t>
      </w:r>
      <w:r>
        <w:t>ihtiyath</w:t>
      </w:r>
      <w:r>
        <w:t>.</w:t>
      </w:r>
    </w:p>
  </w:footnote>
  <w:footnote w:id="16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t>Ijma</w:t>
      </w:r>
      <w:r>
        <w:t>’ ulama tentang riba.</w:t>
      </w:r>
    </w:p>
  </w:footnote>
  <w:footnote w:id="17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t>Ulama kontemporer</w:t>
      </w:r>
    </w:p>
  </w:footnote>
  <w:footnote w:id="18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t xml:space="preserve">Ulama </w:t>
      </w:r>
      <w:r>
        <w:t>salafi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3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宋体" w:hAnsi="Aptos"/>
        <w:kern w:val="2"/>
        <w:sz w:val="24"/>
        <w:szCs w:val="24"/>
        <w:lang w:val="id-ID" w:bidi="ar-SA" w:eastAsia="id-ID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Judul 1 KAR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Judul 2 KAR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Judul 3 KAR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Judul 4 KAR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Judul 5 KAR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Judul 6 KAR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Judul 7 KAR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Judul 8 KAR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Judul 9 KAR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Judul KAR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judul K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Kutipan KAR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Kutipan yang Sering KAR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29">
    <w:name w:val="footnote text"/>
    <w:basedOn w:val="style0"/>
    <w:next w:val="style29"/>
    <w:link w:val="style4110"/>
    <w:uiPriority w:val="99"/>
    <w:pPr>
      <w:spacing w:after="0" w:lineRule="auto" w:line="240"/>
    </w:pPr>
    <w:rPr>
      <w:sz w:val="20"/>
      <w:szCs w:val="20"/>
    </w:rPr>
  </w:style>
  <w:style w:type="character" w:customStyle="1" w:styleId="style4110">
    <w:name w:val="Teks Catatan Kaki KAR"/>
    <w:basedOn w:val="style65"/>
    <w:next w:val="style4110"/>
    <w:link w:val="style29"/>
    <w:uiPriority w:val="99"/>
    <w:rPr>
      <w:sz w:val="20"/>
      <w:szCs w:val="20"/>
    </w:rPr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notes" Target="footnote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475</Words>
  <Pages>4</Pages>
  <Characters>3041</Characters>
  <Application>WPS Office</Application>
  <DocSecurity>0</DocSecurity>
  <Paragraphs>95</Paragraphs>
  <ScaleCrop>false</ScaleCrop>
  <LinksUpToDate>false</LinksUpToDate>
  <CharactersWithSpaces>3454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2026-04-22T15:11:00Z</dcterms:created>
  <dc:creator>irfairfa04@gmail.com</dc:creator>
  <lastModifiedBy>V2352</lastModifiedBy>
  <dcterms:modified xsi:type="dcterms:W3CDTF">2026-04-22T15:16:42Z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3926702b85a64883a0d3038925aa3669</vt:lpwstr>
  </property>
</Properties>
</file>