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Nama : Rani Rusdiana</w:t>
      </w:r>
    </w:p>
    <w:p>
      <w:pPr>
        <w:pStyle w:val="style0"/>
        <w:rPr/>
      </w:pPr>
      <w:r>
        <w:rPr>
          <w:lang w:val="en-US"/>
        </w:rPr>
        <w:t>NIM : 23051158</w:t>
      </w:r>
    </w:p>
    <w:p>
      <w:pPr>
        <w:pStyle w:val="style0"/>
        <w:rPr/>
      </w:pPr>
    </w:p>
    <w:tbl>
      <w:tblPr>
        <w:tblStyle w:val="style154"/>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Look w:val="0400" w:firstRow="0" w:lastRow="0" w:firstColumn="0" w:lastColumn="0" w:noHBand="0" w:noVBand="1"/>
      </w:tblPr>
      <w:tblGrid>
        <w:gridCol w:w="2382"/>
        <w:gridCol w:w="7194"/>
      </w:tblGrid>
      <w:tr>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Masalah</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Hukum Memakai E-Wallet</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Pendapat Pertama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Pendapat pertama menyatakan bahwa penggunaan e-wallet hukumnya boleh (mubah) selama tidak mengandung unsur yang diharamkan seperti riba, penipuan, atau gharar.</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Pendapat Kedua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Pendapat kedua menyatakan bahwa penggunaan e-wallet tidak diperbolehkan karena dikhawatirkan mengandung unsur gharar (ketidakjelasan kepemilikan dana), potensi riba dalam sistem top-up atau cashback, serta ketergantungan pada sistem non-syariah.</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Dalil</w:t>
            </w:r>
            <w:r>
              <w:rPr>
                <w:rFonts w:hint="cs"/>
                <w:rtl/>
                <w:lang w:val="en-US" w:bidi="ar-DZ"/>
              </w:rPr>
              <w:t xml:space="preserve"> </w:t>
            </w:r>
            <w:r>
              <w:rPr>
                <w:rFonts w:hint="default"/>
                <w:lang w:val="en-US" w:bidi="ar-DZ"/>
              </w:rPr>
              <w:t>Penapat</w:t>
            </w:r>
            <w:r>
              <w:rPr>
                <w:lang w:val="en-US"/>
              </w:rPr>
              <w:t xml:space="preserve"> Pertama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rFonts w:hint="cs"/>
                <w:rtl/>
                <w:lang w:bidi="ar-DZ"/>
              </w:rPr>
              <w:t>وَأَحَلَّ اللَّهُ الْبَيْعَ وَحَرَّمَ الرِّبَا</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Dalil pendapat kedua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rFonts w:hint="cs"/>
                <w:rtl/>
                <w:lang w:bidi="ar-DZ"/>
              </w:rPr>
              <w:t>يَا أَيُّهَا الَّذِينَ آمَنُوا لَا تَأْكُلُوا أَمْوَالَكُمْ بَيْنَكُمْ بِالْبَاطِلِ</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Metode Pendapat Pertama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Qiyas : e-wallet dianalogikan dengan uang atau rekening bank.</w:t>
            </w:r>
          </w:p>
          <w:p>
            <w:pPr>
              <w:pStyle w:val="style0"/>
              <w:rPr/>
            </w:pPr>
            <w:r>
              <w:rPr>
                <w:lang w:val="en-US"/>
              </w:rPr>
              <w:t>Istihsan / maslahah mursalah: mempertimbangkan kemaslahatan masyarakat modern.</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Metode Pendapar Kedua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Sadd adz-dzari’ah (menutup jalan menuju yang haram).</w:t>
            </w:r>
          </w:p>
          <w:p>
            <w:pPr>
              <w:pStyle w:val="style0"/>
              <w:rPr/>
            </w:pPr>
            <w:r>
              <w:rPr>
                <w:lang w:val="en-US"/>
              </w:rPr>
              <w:t>Ihtiyath (kehati-hatian) dalam muamalah agar terhindar dari syubhat.</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Alasan Ulama Pertama Membolehkan</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Karena e-wallet mempermudah transaksi, efisien, dan tidak mengandung unsur haram secara zatnya. Selama sistemnya transparan dan tidak ada riba, maka dianggap sah sebagai alat pembayaran modern.</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Alasan Ulama Kedua Melarang</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Karena ada potensi ketidakjelasan dalam penyimpanan dana, risiko penyalahgunaan, serta kemungkinan adanya bunga atau keuntungan tidak jelas dalam sistem tertentu.</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Kelemahan Pendapat Pertama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Kurang mempertimbangkan kemungkinan praktik tersembunyi seperti bunga atau sistem yang tidak transparan dalam aplikasi tertentu.</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Kelemahan Pendapat Kedua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Cenderung terlalu berhati-hati sehingga menghambat kemajuan teknologi dan kebutuhan masyarakat modern.</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Kekuatan Pendapat Pertama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Fleksibel dan sesuai dengan perkembangan zaman serta kebutuhan ekonomi digital.</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Kekuatan Pendapat Kedua</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Lebih menjaga kehati-hatian dalam agama dan menghindari potensi pelanggaran syariah.</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Persamaan Kedua Pendapat</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Keduanya sepakat bahwa transaksi harus bebas dari riba, gharar, dan penipuan.</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Ulama yang Memperbolehkan</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Ulama kontemporer dalam lembaga fiqh modern</w:t>
            </w:r>
          </w:p>
          <w:p>
            <w:pPr>
              <w:pStyle w:val="style0"/>
              <w:rPr/>
            </w:pPr>
            <w:r>
              <w:rPr>
                <w:lang w:val="en-US"/>
              </w:rPr>
              <w:t>Sebagian ulama ekonomi Islam</w:t>
            </w:r>
          </w:p>
          <w:p>
            <w:pPr>
              <w:pStyle w:val="style0"/>
              <w:rPr/>
            </w:pPr>
            <w:r>
              <w:rPr>
                <w:lang w:val="en-US"/>
              </w:rPr>
              <w:t>Dewan Syariah di beberapa negara (dengan syarat tertentu)</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Ulama yang Melarang</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Sebagian ulama konservatif</w:t>
            </w:r>
          </w:p>
          <w:p>
            <w:pPr>
              <w:pStyle w:val="style0"/>
              <w:rPr/>
            </w:pPr>
            <w:r>
              <w:rPr>
                <w:lang w:val="en-US"/>
              </w:rPr>
              <w:t>Ulama yang sangat ketat dalam muamalah modern</w:t>
            </w:r>
          </w:p>
        </w:tc>
      </w:tr>
      <w:tr>
        <w:tblPrEx/>
        <w:trPr/>
        <w:tc>
          <w:tcPr>
            <w:tcW w:w="2382" w:type="dxa"/>
            <w:tcBorders>
              <w:top w:val="single" w:sz="4" w:space="0" w:color="auto"/>
              <w:left w:val="single" w:sz="4" w:space="0" w:color="auto"/>
              <w:bottom w:val="single" w:sz="4" w:space="0" w:color="auto"/>
              <w:right w:val="single" w:sz="4" w:space="0" w:color="auto"/>
            </w:tcBorders>
          </w:tcPr>
          <w:p>
            <w:pPr>
              <w:pStyle w:val="style0"/>
              <w:rPr/>
            </w:pPr>
            <w:r>
              <w:rPr>
                <w:lang w:val="en-US"/>
              </w:rPr>
              <w:t>Analisis Pendapat Pribadi</w:t>
            </w:r>
          </w:p>
        </w:tc>
        <w:tc>
          <w:tcPr>
            <w:tcW w:w="7194" w:type="dxa"/>
            <w:tcBorders>
              <w:top w:val="single" w:sz="4" w:space="0" w:color="auto"/>
              <w:left w:val="single" w:sz="4" w:space="0" w:color="auto"/>
              <w:bottom w:val="single" w:sz="4" w:space="0" w:color="auto"/>
              <w:right w:val="single" w:sz="4" w:space="0" w:color="auto"/>
            </w:tcBorders>
          </w:tcPr>
          <w:p>
            <w:pPr>
              <w:pStyle w:val="style0"/>
              <w:rPr/>
            </w:pPr>
            <w:r>
              <w:rPr>
                <w:lang w:val="en-US"/>
              </w:rPr>
              <w:t>Berdasarkan analisis, pendapat yang membolehkan lebih kuat selama e-wallet digunakan dalam sistem yang transparan, tidak mengandung riba, dan diawasi secara syariah. Hal ini karena prinsip dasar muamalah adalah boleh, serta kebutuhan masyarakat terhadap teknologi finansial sangat besar. Namun, kehati-hatian tetap diperlukan dengan memilih layanan yang jelas dan terpercaya.</w:t>
            </w:r>
          </w:p>
        </w:tc>
      </w:tr>
    </w:tbl>
    <w:p>
      <w:pPr>
        <w:pStyle w:val="style0"/>
        <w:rPr/>
      </w:pPr>
      <w:r>
        <w:rPr>
          <w:lang w:val="en-US"/>
        </w:rPr>
        <w:t>Footnote</w:t>
      </w:r>
    </w:p>
    <w:p>
      <w:pPr>
        <w:pStyle w:val="style0"/>
        <w:rPr/>
      </w:pPr>
      <w:r>
        <w:rPr>
          <w:lang w:val="en-US"/>
        </w:rPr>
        <w:t>Wahbah Az-Zuhaili, Al-Fiqh Al-Islami wa Adillatuhu.</w:t>
      </w:r>
    </w:p>
    <w:p>
      <w:pPr>
        <w:pStyle w:val="style0"/>
        <w:rPr/>
      </w:pPr>
      <w:r>
        <w:rPr>
          <w:lang w:val="en-US"/>
        </w:rPr>
        <w:t>Yusuf Al-Qaradawi, Fiqh al-Muamalat.</w:t>
      </w:r>
    </w:p>
    <w:p>
      <w:pPr>
        <w:pStyle w:val="style0"/>
        <w:rPr/>
      </w:pPr>
      <w:r>
        <w:rPr>
          <w:lang w:val="en-US"/>
        </w:rPr>
        <w:t>Al-Qur’an, QS. Al-Baqarah: 275.</w:t>
      </w:r>
    </w:p>
    <w:p>
      <w:pPr>
        <w:pStyle w:val="style0"/>
        <w:rPr/>
      </w:pPr>
      <w:r>
        <w:rPr>
          <w:lang w:val="en-US"/>
        </w:rPr>
        <w:t>As-Suyuthi, Al-Asybah wa An-Nazhair.</w:t>
      </w:r>
    </w:p>
    <w:p>
      <w:pPr>
        <w:pStyle w:val="style0"/>
        <w:rPr/>
      </w:pPr>
      <w:r>
        <w:rPr>
          <w:lang w:val="en-US"/>
        </w:rPr>
        <w:t>Al-Qur’an, QS. An-Nisa: 29.</w:t>
      </w:r>
    </w:p>
    <w:p>
      <w:pPr>
        <w:pStyle w:val="style0"/>
        <w:rPr/>
      </w:pPr>
      <w:r>
        <w:rPr>
          <w:lang w:val="en-US"/>
        </w:rPr>
        <w:t>HR. Muslim tentang larangan gharar.</w:t>
      </w:r>
    </w:p>
    <w:p>
      <w:pPr>
        <w:pStyle w:val="style0"/>
        <w:rPr/>
      </w:pPr>
      <w:r>
        <w:rPr>
          <w:lang w:val="en-US"/>
        </w:rPr>
        <w:t>Abdul Wahhab Khallaf, Ilmu Ushul Fiqh.</w:t>
      </w:r>
    </w:p>
    <w:p>
      <w:pPr>
        <w:pStyle w:val="style0"/>
        <w:rPr/>
      </w:pPr>
      <w:r>
        <w:rPr>
          <w:lang w:val="en-US"/>
        </w:rPr>
        <w:t>Imam Malik, konsep Sadd adz-Dzari’ah.</w:t>
      </w:r>
    </w:p>
    <w:p>
      <w:pPr>
        <w:pStyle w:val="style0"/>
        <w:rPr/>
      </w:pPr>
      <w:r>
        <w:rPr>
          <w:lang w:val="en-US"/>
        </w:rPr>
        <w:t>Fatwa kontemporer tentang fintech syariah.</w:t>
      </w:r>
    </w:p>
    <w:p>
      <w:pPr>
        <w:pStyle w:val="style0"/>
        <w:rPr/>
      </w:pPr>
      <w:r>
        <w:rPr>
          <w:lang w:val="en-US"/>
        </w:rPr>
        <w:t>Analisis fiqh muamalah modern.</w:t>
      </w:r>
    </w:p>
    <w:p>
      <w:pPr>
        <w:pStyle w:val="style0"/>
        <w:rPr/>
      </w:pPr>
      <w:r>
        <w:rPr>
          <w:lang w:val="en-US"/>
        </w:rPr>
        <w:t>Kritik terhadap sistem fintech.</w:t>
      </w:r>
    </w:p>
    <w:p>
      <w:pPr>
        <w:pStyle w:val="style0"/>
        <w:rPr/>
      </w:pPr>
      <w:r>
        <w:rPr>
          <w:lang w:val="en-US"/>
        </w:rPr>
        <w:t>Pendekatan konservatif dalam fiqh.</w:t>
      </w:r>
    </w:p>
    <w:p>
      <w:pPr>
        <w:pStyle w:val="style0"/>
        <w:rPr/>
      </w:pPr>
      <w:r>
        <w:rPr>
          <w:lang w:val="en-US"/>
        </w:rPr>
        <w:t>Relevansi fiqh dengan teknologi.</w:t>
      </w:r>
    </w:p>
    <w:p>
      <w:pPr>
        <w:pStyle w:val="style0"/>
        <w:rPr/>
      </w:pPr>
      <w:r>
        <w:rPr>
          <w:lang w:val="en-US"/>
        </w:rPr>
        <w:t>Prinsip kehati-hatian dalam Islam.</w:t>
      </w:r>
    </w:p>
    <w:p>
      <w:pPr>
        <w:pStyle w:val="style0"/>
        <w:rPr/>
      </w:pPr>
      <w:r>
        <w:rPr>
          <w:lang w:val="en-US"/>
        </w:rPr>
        <w:t>Kesepakatan ulama tentang riba dan gharar.</w:t>
      </w:r>
    </w:p>
    <w:p>
      <w:pPr>
        <w:pStyle w:val="style0"/>
        <w:rPr/>
      </w:pPr>
      <w:r>
        <w:rPr>
          <w:lang w:val="en-US"/>
        </w:rPr>
        <w:t>Fatwa DSN-MUI terkait uang elektronik.</w:t>
      </w:r>
    </w:p>
    <w:p>
      <w:pPr>
        <w:pStyle w:val="style0"/>
        <w:rPr/>
      </w:pPr>
      <w:r>
        <w:rPr>
          <w:lang w:val="en-US"/>
        </w:rPr>
        <w:t>Pendapat ulama tradisional.</w:t>
      </w:r>
    </w:p>
    <w:p>
      <w:pPr>
        <w:pStyle w:val="style0"/>
        <w:rPr/>
      </w:pPr>
      <w:r>
        <w:rPr>
          <w:lang w:val="en-US"/>
        </w:rPr>
        <w:t>Analisis pribadi berbasis kaidah fiqh.</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 w:type="table" w:styleId="style154">
    <w:name w:val="Table Grid"/>
    <w:basedOn w:val="style105"/>
    <w:next w:val="style154"/>
    <w:uiPriority w:val="59"/>
    <w:pP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styleId="style167">
    <w:name w:val="Medium Grid 3"/>
    <w:basedOn w:val="style105"/>
    <w:next w:val="style16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c0c0c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000000"/>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000000"/>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80808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000000"/>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000000"/>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808080"/>
      </w:tcPr>
    </w:tblStylePr>
    <w:tcPr>
      <w:tcBorders/>
      <w:shd w:val="clear" w:color="auto" w:fill="c0c0c0"/>
    </w:tcPr>
  </w:style>
  <w:style w:type="table" w:styleId="style185">
    <w:name w:val="Medium Grid 3 Accent 1"/>
    <w:basedOn w:val="style105"/>
    <w:next w:val="style18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3dfee"/>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f81b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f81b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7bfde"/>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f81b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f81b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7bfde"/>
      </w:tcPr>
    </w:tblStylePr>
    <w:tcPr>
      <w:tcBorders/>
      <w:shd w:val="clear" w:color="auto" w:fill="d3dfee"/>
    </w:tcPr>
  </w:style>
  <w:style w:type="table" w:styleId="style199">
    <w:name w:val="Medium Grid 3 Accent 2"/>
    <w:basedOn w:val="style105"/>
    <w:next w:val="style199"/>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fd3d2"/>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c0504d"/>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c0504d"/>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dfa7a6"/>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c0504d"/>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c0504d"/>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dfa7a6"/>
      </w:tcPr>
    </w:tblStylePr>
    <w:tcPr>
      <w:tcBorders/>
      <w:shd w:val="clear" w:color="auto" w:fill="efd3d2"/>
    </w:tcPr>
  </w:style>
  <w:style w:type="table" w:styleId="style213">
    <w:name w:val="Medium Grid 3 Accent 3"/>
    <w:basedOn w:val="style105"/>
    <w:next w:val="style213"/>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e6eed5"/>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9bbb59"/>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9bbb59"/>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cdddac"/>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9bbb59"/>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9bbb59"/>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cdddac"/>
      </w:tcPr>
    </w:tblStylePr>
    <w:tcPr>
      <w:tcBorders/>
      <w:shd w:val="clear" w:color="auto" w:fill="e6eed5"/>
    </w:tcPr>
  </w:style>
  <w:style w:type="table" w:styleId="style227">
    <w:name w:val="Medium Grid 3 Accent 4"/>
    <w:basedOn w:val="style105"/>
    <w:next w:val="style227"/>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fd8e8"/>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8064a2"/>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8064a2"/>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bfb1d0"/>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8064a2"/>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8064a2"/>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bfb1d0"/>
      </w:tcPr>
    </w:tblStylePr>
    <w:tcPr>
      <w:tcBorders/>
      <w:shd w:val="clear" w:color="auto" w:fill="dfd8e8"/>
    </w:tcPr>
  </w:style>
  <w:style w:type="table" w:styleId="style241">
    <w:name w:val="Medium Grid 3 Accent 5"/>
    <w:basedOn w:val="style105"/>
    <w:next w:val="style241"/>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d2eaf1"/>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4bacc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4bacc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a5d5e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4bacc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4bacc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a5d5e2"/>
      </w:tcPr>
    </w:tblStylePr>
    <w:tcPr>
      <w:tcBorders/>
      <w:shd w:val="clear" w:color="auto" w:fill="d2eaf1"/>
    </w:tcPr>
  </w:style>
  <w:style w:type="table" w:styleId="style255">
    <w:name w:val="Medium Grid 3 Accent 6"/>
    <w:basedOn w:val="style105"/>
    <w:next w:val="style255"/>
    <w:uiPriority w:val="69"/>
    <w:pPr/>
    <w:rPr/>
    <w:tblPr>
      <w:tblStyleRowBandSize w:val="1"/>
      <w:tblStyleColBandSize w:val="1"/>
      <w:tblInd w:w="0" w:type="dxa"/>
      <w:tblBorders>
        <w:top w:val="single" w:sz="8" w:space="0" w:color="cce8cf"/>
        <w:left w:val="single" w:sz="8" w:space="0" w:color="cce8cf"/>
        <w:bottom w:val="single" w:sz="8" w:space="0" w:color="cce8cf"/>
        <w:right w:val="single" w:sz="8" w:space="0" w:color="cce8cf"/>
        <w:insideH w:val="single" w:sz="6" w:space="0" w:color="cce8cf"/>
        <w:insideV w:val="single" w:sz="6" w:space="0" w:color="cce8cf"/>
      </w:tblBorders>
      <w:shd w:val="clear" w:color="auto" w:fill="fde4d0"/>
      <w:tblCellMar>
        <w:top w:w="0" w:type="dxa"/>
        <w:left w:w="108" w:type="dxa"/>
        <w:bottom w:w="0" w:type="dxa"/>
        <w:right w:w="108" w:type="dxa"/>
      </w:tblCellMar>
    </w:tblPr>
    <w:tblStylePr w:type="firstRow">
      <w:pPr/>
      <w:rPr>
        <w:b/>
        <w:bCs/>
        <w:i w:val="false"/>
        <w:iCs w:val="false"/>
        <w:color w:val="cce8cf"/>
      </w:rPr>
      <w:tblPr/>
      <w:tcPr>
        <w:tcBorders>
          <w:top w:val="single" w:sz="8" w:space="0" w:color="cce8cf"/>
          <w:left w:val="single" w:sz="8" w:space="0" w:color="cce8cf"/>
          <w:bottom w:val="single" w:sz="24" w:space="0" w:color="cce8cf"/>
          <w:right w:val="single" w:sz="8" w:space="0" w:color="cce8cf"/>
          <w:insideH w:val="nil"/>
          <w:insideV w:val="single" w:sz="8" w:space="0" w:color="cce8cf"/>
        </w:tcBorders>
        <w:shd w:val="clear" w:color="auto" w:fill="f79646"/>
      </w:tcPr>
    </w:tblStylePr>
    <w:tblStylePr w:type="lastRow">
      <w:pPr/>
      <w:rPr>
        <w:b/>
        <w:bCs/>
        <w:i w:val="false"/>
        <w:iCs w:val="false"/>
        <w:color w:val="cce8cf"/>
      </w:rPr>
      <w:tblPr/>
      <w:tcPr>
        <w:tcBorders>
          <w:top w:val="single" w:sz="24" w:space="0" w:color="cce8cf"/>
          <w:left w:val="single" w:sz="8" w:space="0" w:color="cce8cf"/>
          <w:bottom w:val="single" w:sz="8" w:space="0" w:color="cce8cf"/>
          <w:right w:val="single" w:sz="8" w:space="0" w:color="cce8cf"/>
          <w:insideH w:val="nil"/>
          <w:insideV w:val="single" w:sz="8" w:space="0" w:color="cce8cf"/>
        </w:tcBorders>
        <w:shd w:val="clear" w:color="auto" w:fill="f79646"/>
      </w:tcPr>
    </w:tblStylePr>
    <w:tblStylePr w:type="band1Horz">
      <w:pPr/>
      <w:tblPr/>
      <w:tcPr>
        <w:tcBorders>
          <w:top w:val="single" w:sz="8" w:space="0" w:color="cce8cf"/>
          <w:left w:val="single" w:sz="8" w:space="0" w:color="cce8cf"/>
          <w:bottom w:val="single" w:sz="8" w:space="0" w:color="cce8cf"/>
          <w:right w:val="single" w:sz="8" w:space="0" w:color="cce8cf"/>
          <w:insideH w:val="single" w:sz="8" w:space="0" w:color="cce8cf"/>
          <w:insideV w:val="single" w:sz="8" w:space="0" w:color="cce8cf"/>
        </w:tcBorders>
        <w:shd w:val="clear" w:color="auto" w:fill="fbcaa2"/>
      </w:tcPr>
    </w:tblStylePr>
    <w:tblStylePr w:type="firstCol">
      <w:pPr/>
      <w:rPr>
        <w:b/>
        <w:bCs/>
        <w:i w:val="false"/>
        <w:iCs w:val="false"/>
        <w:color w:val="cce8cf"/>
      </w:rPr>
      <w:tblPr/>
      <w:tcPr>
        <w:tcBorders>
          <w:left w:val="single" w:sz="8" w:space="0" w:color="cce8cf"/>
          <w:right w:val="single" w:sz="24" w:space="0" w:color="cce8cf"/>
          <w:insideH w:val="nil"/>
          <w:insideV w:val="nil"/>
        </w:tcBorders>
        <w:shd w:val="clear" w:color="auto" w:fill="f79646"/>
      </w:tcPr>
    </w:tblStylePr>
    <w:tblStylePr w:type="lastCol">
      <w:pPr/>
      <w:rPr>
        <w:b/>
        <w:bCs/>
        <w:i w:val="false"/>
        <w:iCs w:val="false"/>
        <w:color w:val="cce8cf"/>
      </w:rPr>
      <w:tblPr/>
      <w:tcPr>
        <w:tcBorders>
          <w:top w:val="nil"/>
          <w:left w:val="single" w:sz="24" w:space="0" w:color="cce8cf"/>
          <w:bottom w:val="nil"/>
          <w:right w:val="nil"/>
          <w:insideH w:val="nil"/>
          <w:insideV w:val="nil"/>
        </w:tcBorders>
        <w:shd w:val="clear" w:color="auto" w:fill="f79646"/>
      </w:tcPr>
    </w:tblStylePr>
    <w:tblStylePr w:type="band1Vert">
      <w:pPr/>
      <w:tblPr/>
      <w:tcPr>
        <w:tcBorders>
          <w:top w:val="single" w:sz="8" w:space="0" w:color="cce8cf"/>
          <w:left w:val="single" w:sz="8" w:space="0" w:color="cce8cf"/>
          <w:bottom w:val="single" w:sz="8" w:space="0" w:color="cce8cf"/>
          <w:right w:val="single" w:sz="8" w:space="0" w:color="cce8cf"/>
          <w:insideH w:val="nil"/>
          <w:insideV w:val="nil"/>
        </w:tcBorders>
        <w:shd w:val="clear" w:color="auto" w:fill="fbcaa2"/>
      </w:tcPr>
    </w:tblStylePr>
    <w:tcPr>
      <w:tcBorders/>
      <w:shd w:val="clear" w:color="auto" w:fill="fde4d0"/>
    </w:tc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415</Words>
  <Characters>2911</Characters>
  <Application>WPS Office</Application>
  <Paragraphs>78</Paragraphs>
  <CharactersWithSpaces>3266</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2026-04-23T03:10:53Z</dcterms:created>
  <dc:creator>Infinix X689B</dc:creator>
  <lastModifiedBy>Infinix X689B</lastModifiedBy>
  <dcterms:modified xsi:type="dcterms:W3CDTF">2026-04-23T03:22:09Z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e0793e0b22674234b6d1248d8a803f03</vt:lpwstr>
  </property>
</Properties>
</file>