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Nama : Rani Rusdiana</w:t>
      </w:r>
    </w:p>
    <w:p>
      <w:pPr>
        <w:pStyle w:val="style0"/>
        <w:rPr/>
      </w:pPr>
      <w:r>
        <w:rPr>
          <w:lang w:val="en-US"/>
        </w:rPr>
        <w:t>NIM : 23051158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447"/>
        <w:gridCol w:w="6129"/>
      </w:tblGrid>
      <w:tr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Masalah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Hukum menyentuh lawan jenis (non-mahram) apakah membatalkan wudhu dalam Islam.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Pendapat Pertama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menyentuh lawan jenis membatalkan wudhu secara mutlak, baik dengan syahwat maupun tidak, selama tanpa penghalang.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Pendapat Kedua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menyentuh lawan jenis tidak membatalkan wudhu, kecuali jika disertai syahwat (menurut sebagian ulama), atau bahkan tidak membatalkan sama sekali.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Dalil Pendapat Pertama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cs"/>
                <w:rtl/>
                <w:lang w:bidi="ar-DZ"/>
              </w:rPr>
              <w:t>أَوْ لَامَسْتُمُ النِّسَاءَ فَلَمْ تَجِدُوا مَاءً فَتَيَمَّمُوا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Dalil Pendapat Kedua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cs"/>
                <w:rtl/>
                <w:lang w:bidi="ar-DZ"/>
              </w:rPr>
              <w:t>كَانَ النَّبِيُّ ﷺ يُقَبِّلُ بَعْضَ نِسَائِهِ ثُمَّ يُصَلِّي وَلَا يَتَوَضَّأُ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Metode Pendapat Pertama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Pendekatan tekstual (zahir ayat) terhadap lafal lamastum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Ihtiyath (kehati-hatian) dalam ibadah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Metode Pendapat Kedua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Tafsir kontekstual / majazi terhadap kata lamastum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Menggabungkan dalil Al-Qur’an dan hadis (jam’u bayna al-adillah)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Alasan Ulama Pertama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Karena memahami ayat secara literal, bahwa sentuhan fisik termasuk pembatal wudhu untuk menjaga kesucian ibadah.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Alasan Ulama Kedua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Karena adanya hadis yang menunjukkan Nabi tetap shalat setelah menyentuh istri, sehingga sentuhan tidak dianggap membatalkan.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Kelemahan Pendapat Pertama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Kurang mempertimbangkan hadis-hadis sahih yang menunjukkan tidak batalnya wudhu karena sentuhan.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Kelemahan Pendapat Kedua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Penafsiran “lamastum” sebagai jima’ dianggap tidak sesuai makna zahir bahasa oleh sebagian ulama.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Kekuatan Pendapat Pertama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Berpegang kuat pada zahir Al-Qur’an dan sikap kehati-hatian dalam ibadah.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Kekuatan Pendapat Kedua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Didukung oleh hadis sahih dan praktik langsung Nabi ﷺ.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Persamaan Kedua Pendapat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Keduanya sepakat bahwa menjaga kesucian wudhu adalah syarat sah shalat dan harus berdasarkan dalil syar’i.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Ulama yang Mengatakan Membatalkan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Imam Asy-Syafi’i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Ulama mazhab Syafi’i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Ulama yang Mengatakan Tidak Membatalkan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Imam Abu Hanifah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Imam Ahmad (dalam salah satu riwayat)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Imam Malik (dengan rincian syahwat)</w:t>
            </w:r>
          </w:p>
        </w:tc>
      </w:tr>
      <w:tr>
        <w:tblPrEx/>
        <w:trPr/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Analisis Pendapat Pribadi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Pendapat yang lebih kuat adalah tidak membatalkan wudhu, karena didukung hadis sahih yang menunjukkan praktik langsung Nabi ﷺ. Namun, pendapat pertama tetap memiliki nilai kehati-hatian. Oleh karena itu, sikap terbaik adalah memahami kedua pendapat dan menyesuaikan dengan keyakinan mazhab yang diikuti.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Footnote</w:t>
      </w:r>
    </w:p>
    <w:p>
      <w:pPr>
        <w:pStyle w:val="style0"/>
        <w:rPr/>
      </w:pPr>
      <w:r>
        <w:rPr>
          <w:lang w:val="en-US"/>
        </w:rPr>
        <w:t>Imam An-Nawawi, Al-Majmu’ Syarh Al-Muhadzdzab.</w:t>
      </w:r>
    </w:p>
    <w:p>
      <w:pPr>
        <w:pStyle w:val="style0"/>
        <w:rPr/>
      </w:pPr>
      <w:r>
        <w:rPr>
          <w:lang w:val="en-US"/>
        </w:rPr>
        <w:t>Ibnu Qudamah, Al-Mughni.</w:t>
      </w:r>
    </w:p>
    <w:p>
      <w:pPr>
        <w:pStyle w:val="style0"/>
        <w:rPr/>
      </w:pPr>
      <w:r>
        <w:rPr>
          <w:lang w:val="en-US"/>
        </w:rPr>
        <w:t>QS. An-Nisa: 43.</w:t>
      </w:r>
    </w:p>
    <w:p>
      <w:pPr>
        <w:pStyle w:val="style0"/>
        <w:rPr/>
      </w:pPr>
      <w:r>
        <w:rPr>
          <w:lang w:val="en-US"/>
        </w:rPr>
        <w:t>Tafsir Ibnu Katsir.</w:t>
      </w:r>
    </w:p>
    <w:p>
      <w:pPr>
        <w:pStyle w:val="style0"/>
        <w:rPr/>
      </w:pPr>
      <w:r>
        <w:rPr>
          <w:lang w:val="en-US"/>
        </w:rPr>
        <w:t>HR. Bukhari &amp; Muslim.</w:t>
      </w:r>
    </w:p>
    <w:p>
      <w:pPr>
        <w:pStyle w:val="style0"/>
        <w:rPr/>
      </w:pPr>
      <w:r>
        <w:rPr>
          <w:lang w:val="en-US"/>
        </w:rPr>
        <w:t>Abdul Wahhab Khallaf, Ilmu Ushul Fiqh.</w:t>
      </w:r>
    </w:p>
    <w:p>
      <w:pPr>
        <w:pStyle w:val="style0"/>
        <w:rPr/>
      </w:pPr>
      <w:r>
        <w:rPr>
          <w:lang w:val="en-US"/>
        </w:rPr>
        <w:t>Asy-Syaukani, Irsyad Al-Fuhul.</w:t>
      </w:r>
    </w:p>
    <w:p>
      <w:pPr>
        <w:pStyle w:val="style0"/>
        <w:rPr/>
      </w:pPr>
      <w:r>
        <w:rPr>
          <w:lang w:val="en-US"/>
        </w:rPr>
        <w:t>Pendapat mazhab Syafi’i.</w:t>
      </w:r>
    </w:p>
    <w:p>
      <w:pPr>
        <w:pStyle w:val="style0"/>
        <w:rPr/>
      </w:pPr>
      <w:r>
        <w:rPr>
          <w:lang w:val="en-US"/>
        </w:rPr>
        <w:t>Hadis Aisyah RA.</w:t>
      </w:r>
    </w:p>
    <w:p>
      <w:pPr>
        <w:pStyle w:val="style0"/>
        <w:rPr/>
      </w:pPr>
      <w:r>
        <w:rPr>
          <w:lang w:val="en-US"/>
        </w:rPr>
        <w:t>Kritik ulama terhadap mazhab Syafi’i.</w:t>
      </w:r>
    </w:p>
    <w:p>
      <w:pPr>
        <w:pStyle w:val="style0"/>
        <w:rPr/>
      </w:pPr>
      <w:r>
        <w:rPr>
          <w:lang w:val="en-US"/>
        </w:rPr>
        <w:t>Kritik terhadap tafsir majazi.</w:t>
      </w:r>
    </w:p>
    <w:p>
      <w:pPr>
        <w:pStyle w:val="style0"/>
        <w:rPr/>
      </w:pPr>
      <w:r>
        <w:rPr>
          <w:lang w:val="en-US"/>
        </w:rPr>
        <w:t>Kekuatan metode zahir.</w:t>
      </w:r>
    </w:p>
    <w:p>
      <w:pPr>
        <w:pStyle w:val="style0"/>
        <w:rPr/>
      </w:pPr>
      <w:r>
        <w:rPr>
          <w:lang w:val="en-US"/>
        </w:rPr>
        <w:t>Dalil hadis sahih.</w:t>
      </w:r>
    </w:p>
    <w:p>
      <w:pPr>
        <w:pStyle w:val="style0"/>
        <w:rPr/>
      </w:pPr>
      <w:r>
        <w:rPr>
          <w:lang w:val="en-US"/>
        </w:rPr>
        <w:t>Ijma’ tentang pentingnya wudhu.</w:t>
      </w:r>
    </w:p>
    <w:p>
      <w:pPr>
        <w:pStyle w:val="style0"/>
        <w:rPr/>
      </w:pPr>
      <w:r>
        <w:rPr>
          <w:lang w:val="en-US"/>
        </w:rPr>
        <w:t>Imam Asy-Syafi’i.</w:t>
      </w:r>
    </w:p>
    <w:p>
      <w:pPr>
        <w:pStyle w:val="style0"/>
        <w:rPr/>
      </w:pPr>
      <w:r>
        <w:rPr>
          <w:lang w:val="en-US"/>
        </w:rPr>
        <w:t>Mazhab Hanafi, Maliki, Hanbali.</w:t>
      </w:r>
    </w:p>
    <w:p>
      <w:pPr>
        <w:pStyle w:val="style0"/>
        <w:rPr/>
      </w:pPr>
      <w:r>
        <w:rPr>
          <w:lang w:val="en-US"/>
        </w:rPr>
        <w:t>Analisis fiqh muqaran (perbandingan mazhab).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357</Words>
  <Characters>2362</Characters>
  <Application>WPS Office</Application>
  <Paragraphs>77</Paragraphs>
  <CharactersWithSpaces>2660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2026-04-23T03:24:35Z</dcterms:created>
  <dc:creator>Infinix X689B</dc:creator>
  <lastModifiedBy>Infinix X689B</lastModifiedBy>
  <dcterms:modified xsi:type="dcterms:W3CDTF">2026-04-23T03:33:57Z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97483f6a454c4cbaaabad6cd00f27918</vt:lpwstr>
  </property>
</Properties>
</file>