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Nama : ihdinatul jannah</w:t>
      </w:r>
    </w:p>
    <w:p>
      <w:pPr>
        <w:pStyle w:val="style0"/>
        <w:rPr/>
      </w:pPr>
      <w:r>
        <w:rPr>
          <w:lang w:val="en-US"/>
        </w:rPr>
        <w:t>Nim : 23051115</w:t>
      </w:r>
    </w:p>
    <w:p>
      <w:pPr>
        <w:pStyle w:val="style0"/>
        <w:rPr/>
      </w:pPr>
    </w:p>
    <w:p>
      <w:pPr>
        <w:pStyle w:val="style0"/>
        <w:jc w:val="both"/>
        <w:rPr/>
      </w:pPr>
      <w:r>
        <w:rPr>
          <w:lang w:val="en-US"/>
        </w:rPr>
        <w:t>1. Masalah</w:t>
      </w:r>
    </w:p>
    <w:p>
      <w:pPr>
        <w:pStyle w:val="style0"/>
        <w:jc w:val="both"/>
        <w:rPr/>
      </w:pPr>
      <w:r>
        <w:rPr>
          <w:lang w:val="en-US"/>
        </w:rPr>
        <w:t>Hukum menyentuh lawan jenis (non-mahram) apakah membatalkan wudhu?</w:t>
      </w:r>
    </w:p>
    <w:p>
      <w:pPr>
        <w:pStyle w:val="style0"/>
        <w:jc w:val="both"/>
        <w:rPr/>
      </w:pPr>
      <w:r>
        <w:rPr>
          <w:lang w:val="en-US"/>
        </w:rPr>
        <w:t>2. Pendapat Pertama (Membatalkan Wudhu)</w:t>
      </w:r>
    </w:p>
    <w:p>
      <w:pPr>
        <w:pStyle w:val="style0"/>
        <w:jc w:val="both"/>
        <w:rPr/>
      </w:pPr>
      <w:r>
        <w:rPr>
          <w:lang w:val="en-US"/>
        </w:rPr>
        <w:t>Pendapat ini menyatakan bahwa menyentuh lawan jenis yang bukan mahram membatalkan wudhu secara mutlak, baik dengan syahwat maupun tidak.</w:t>
      </w:r>
      <w:r>
        <w:rPr>
          <w:rStyle w:val="style38"/>
        </w:rPr>
        <w:footnoteReference w:id="1"/>
      </w:r>
    </w:p>
    <w:p>
      <w:pPr>
        <w:pStyle w:val="style0"/>
        <w:jc w:val="both"/>
        <w:rPr/>
      </w:pPr>
      <w:r>
        <w:rPr>
          <w:lang w:val="en-US"/>
        </w:rPr>
        <w:t>3. Pendapat Kedua (Tidak Membatalkan Wudhu)</w:t>
      </w:r>
    </w:p>
    <w:p>
      <w:pPr>
        <w:pStyle w:val="style0"/>
        <w:jc w:val="both"/>
        <w:rPr/>
      </w:pPr>
      <w:r>
        <w:rPr>
          <w:lang w:val="en-US"/>
        </w:rPr>
        <w:t>Pendapat ini menyatakan bahwa menyentuh lawan jenis tidak membatalkan wudhu, kecuali jika disertai keluarnya sesuatu (seperti mani atau madzi).</w:t>
      </w:r>
      <w:r>
        <w:rPr>
          <w:rStyle w:val="style38"/>
        </w:rPr>
        <w:footnoteReference w:id="2"/>
      </w:r>
    </w:p>
    <w:p>
      <w:pPr>
        <w:pStyle w:val="style0"/>
        <w:jc w:val="both"/>
        <w:rPr/>
      </w:pPr>
      <w:r>
        <w:rPr>
          <w:lang w:val="en-US"/>
        </w:rPr>
        <w:t>4. Dalil Pendapat Pertama</w:t>
      </w:r>
    </w:p>
    <w:p>
      <w:pPr>
        <w:pStyle w:val="style0"/>
        <w:jc w:val="both"/>
        <w:rPr/>
      </w:pPr>
      <w:r>
        <w:rPr>
          <w:lang w:val="en-US"/>
        </w:rPr>
        <w:t>Dalil utama adalah firman Allah:</w:t>
      </w:r>
    </w:p>
    <w:p>
      <w:pPr>
        <w:pStyle w:val="style0"/>
        <w:jc w:val="both"/>
        <w:rPr/>
      </w:pPr>
      <w:r>
        <w:rPr>
          <w:rtl/>
          <w:lang w:val="en-US"/>
        </w:rPr>
        <w:t>أَوْ لَامَسْتُمُ النِّسَاءَ</w:t>
      </w:r>
    </w:p>
    <w:p>
      <w:pPr>
        <w:pStyle w:val="style0"/>
        <w:jc w:val="both"/>
        <w:rPr/>
      </w:pPr>
      <w:r>
        <w:rPr>
          <w:rtl/>
          <w:lang w:val="en-US"/>
        </w:rPr>
        <w:t>“…atau kalian menyentuh perempuan…” (QS. AnNisa: 43)</w:t>
      </w:r>
      <w:r>
        <w:rPr>
          <w:rStyle w:val="style38"/>
        </w:rPr>
        <w:footnoteReference w:id="3"/>
      </w:r>
    </w:p>
    <w:p>
      <w:pPr>
        <w:pStyle w:val="style0"/>
        <w:jc w:val="both"/>
        <w:rPr/>
      </w:pPr>
      <w:r>
        <w:rPr>
          <w:lang w:val="en-US"/>
        </w:rPr>
        <w:t>Mereka memahami kata “lamastum” secara literal sebagai sentuhan fisik</w:t>
      </w:r>
    </w:p>
    <w:p>
      <w:pPr>
        <w:pStyle w:val="style0"/>
        <w:jc w:val="both"/>
        <w:rPr/>
      </w:pPr>
      <w:r>
        <w:rPr>
          <w:lang w:val="en-US"/>
        </w:rPr>
        <w:t>5. Dalil Pendapat Kedua</w:t>
      </w:r>
    </w:p>
    <w:p>
      <w:pPr>
        <w:pStyle w:val="style0"/>
        <w:jc w:val="both"/>
        <w:rPr/>
      </w:pPr>
      <w:r>
        <w:rPr>
          <w:lang w:val="en-US"/>
        </w:rPr>
        <w:t>Dalilnya:</w:t>
      </w:r>
    </w:p>
    <w:p>
      <w:pPr>
        <w:pStyle w:val="style0"/>
        <w:jc w:val="both"/>
        <w:rPr/>
      </w:pPr>
      <w:r>
        <w:rPr>
          <w:lang w:val="en-US"/>
        </w:rPr>
        <w:t>Ayat yang sama (QS. An-Nisa: 43), tetapi dimaknai jima’ (hubungan suami-istri), bukan sekadar sentuhan.</w:t>
      </w:r>
      <w:r>
        <w:rPr>
          <w:rStyle w:val="style38"/>
        </w:rPr>
        <w:footnoteReference w:id="4"/>
      </w:r>
    </w:p>
    <w:p>
      <w:pPr>
        <w:pStyle w:val="style0"/>
        <w:jc w:val="both"/>
        <w:rPr/>
      </w:pPr>
      <w:r>
        <w:rPr>
          <w:lang w:val="en-US"/>
        </w:rPr>
        <w:t>Hadis:</w:t>
      </w:r>
    </w:p>
    <w:p>
      <w:pPr>
        <w:pStyle w:val="style0"/>
        <w:jc w:val="both"/>
        <w:rPr/>
      </w:pPr>
      <w:r>
        <w:rPr>
          <w:lang w:val="en-US"/>
        </w:rPr>
        <w:t>“Nabi ﷺ mencium sebagian istrinya, lalu shalat dan tidak berwudhu lagi.”</w:t>
      </w:r>
      <w:r>
        <w:rPr>
          <w:rStyle w:val="style38"/>
        </w:rPr>
        <w:footnoteReference w:id="5"/>
      </w:r>
    </w:p>
    <w:p>
      <w:pPr>
        <w:pStyle w:val="style0"/>
        <w:jc w:val="both"/>
        <w:rPr/>
      </w:pPr>
      <w:r>
        <w:rPr>
          <w:lang w:val="en-US"/>
        </w:rPr>
        <w:t>6. Metode Pendapat Pertama</w:t>
      </w:r>
    </w:p>
    <w:p>
      <w:pPr>
        <w:pStyle w:val="style0"/>
        <w:jc w:val="both"/>
        <w:rPr/>
      </w:pPr>
      <w:r>
        <w:rPr>
          <w:lang w:val="en-US"/>
        </w:rPr>
        <w:t>Menggunakan metode:</w:t>
      </w:r>
    </w:p>
    <w:p>
      <w:pPr>
        <w:pStyle w:val="style0"/>
        <w:jc w:val="both"/>
        <w:rPr/>
      </w:pPr>
      <w:r>
        <w:rPr>
          <w:lang w:val="en-US"/>
        </w:rPr>
        <w:t>Makna hakiki (literal) dari lafadz Al-Qur’an</w:t>
      </w:r>
    </w:p>
    <w:p>
      <w:pPr>
        <w:pStyle w:val="style0"/>
        <w:jc w:val="both"/>
        <w:rPr/>
      </w:pPr>
      <w:r>
        <w:rPr>
          <w:lang w:val="en-US"/>
        </w:rPr>
        <w:t>Kaidah: الأصل في الكلام الحقيقة (asal makna adalah makna sebenarnya)</w:t>
      </w:r>
      <w:r>
        <w:rPr>
          <w:rStyle w:val="style38"/>
        </w:rPr>
        <w:footnoteReference w:id="6"/>
      </w:r>
    </w:p>
    <w:p>
      <w:pPr>
        <w:pStyle w:val="style0"/>
        <w:jc w:val="both"/>
        <w:rPr/>
      </w:pPr>
      <w:r>
        <w:rPr>
          <w:lang w:val="en-US"/>
        </w:rPr>
        <w:t>7. Metode Pendapat Kedua</w:t>
      </w:r>
    </w:p>
    <w:p>
      <w:pPr>
        <w:pStyle w:val="style0"/>
        <w:jc w:val="both"/>
        <w:rPr/>
      </w:pPr>
      <w:r>
        <w:rPr>
          <w:lang w:val="en-US"/>
        </w:rPr>
        <w:t>Menggunakan metode:</w:t>
      </w:r>
    </w:p>
    <w:p>
      <w:pPr>
        <w:pStyle w:val="style0"/>
        <w:jc w:val="both"/>
        <w:rPr/>
      </w:pPr>
      <w:r>
        <w:rPr>
          <w:lang w:val="en-US"/>
        </w:rPr>
        <w:t>Penafsiran majazi (kiasan)</w:t>
      </w:r>
    </w:p>
    <w:p>
      <w:pPr>
        <w:pStyle w:val="style0"/>
        <w:jc w:val="both"/>
        <w:rPr/>
      </w:pPr>
      <w:r>
        <w:rPr>
          <w:lang w:val="en-US"/>
        </w:rPr>
        <w:t>Menggabungkan dalil Al-Qur’an dengan hadis (jam’u wa taufiq)</w:t>
      </w:r>
      <w:r>
        <w:rPr>
          <w:rStyle w:val="style38"/>
        </w:rPr>
        <w:footnoteReference w:id="7"/>
      </w:r>
    </w:p>
    <w:p>
      <w:pPr>
        <w:pStyle w:val="style0"/>
        <w:jc w:val="both"/>
        <w:rPr/>
      </w:pPr>
      <w:r>
        <w:rPr>
          <w:lang w:val="en-US"/>
        </w:rPr>
        <w:t>8. Alasan Pendapat Pertama</w:t>
      </w:r>
    </w:p>
    <w:p>
      <w:pPr>
        <w:pStyle w:val="style0"/>
        <w:jc w:val="both"/>
        <w:rPr/>
      </w:pPr>
      <w:r>
        <w:rPr>
          <w:lang w:val="en-US"/>
        </w:rPr>
        <w:t>Karena lafadz “lamastum” secara bahasa berarti menyentuh, sehingga dipahami secara langsung tanpa takwil.</w:t>
      </w:r>
      <w:r>
        <w:rPr>
          <w:rStyle w:val="style38"/>
        </w:rPr>
        <w:footnoteReference w:id="8"/>
      </w:r>
    </w:p>
    <w:p>
      <w:pPr>
        <w:pStyle w:val="style0"/>
        <w:jc w:val="both"/>
        <w:rPr/>
      </w:pPr>
      <w:r>
        <w:rPr>
          <w:lang w:val="en-US"/>
        </w:rPr>
        <w:t>9. Alasan Pendapat Kedua</w:t>
      </w:r>
    </w:p>
    <w:p>
      <w:pPr>
        <w:pStyle w:val="style0"/>
        <w:jc w:val="both"/>
        <w:rPr/>
      </w:pPr>
      <w:r>
        <w:rPr>
          <w:lang w:val="en-US"/>
        </w:rPr>
        <w:t>Karena: Ada hadis yang menunjukkan Nabi tidak berwudhu setelah menyentuh istri</w:t>
      </w:r>
    </w:p>
    <w:p>
      <w:pPr>
        <w:pStyle w:val="style0"/>
        <w:jc w:val="both"/>
        <w:rPr/>
      </w:pPr>
      <w:r>
        <w:rPr>
          <w:lang w:val="en-US"/>
        </w:rPr>
        <w:t>Kata “lamastum” dalam bahasa Arab bisa bermakna jima'.</w:t>
      </w:r>
      <w:r>
        <w:rPr>
          <w:rStyle w:val="style38"/>
        </w:rPr>
        <w:footnoteReference w:id="9"/>
      </w:r>
    </w:p>
    <w:p>
      <w:pPr>
        <w:pStyle w:val="style0"/>
        <w:jc w:val="both"/>
        <w:rPr/>
      </w:pPr>
      <w:r>
        <w:rPr>
          <w:lang w:val="en-US"/>
        </w:rPr>
        <w:t>10. Kelemahan Pendapat Pertama</w:t>
      </w:r>
    </w:p>
    <w:p>
      <w:pPr>
        <w:pStyle w:val="style0"/>
        <w:jc w:val="both"/>
        <w:rPr/>
      </w:pPr>
      <w:r>
        <w:rPr>
          <w:lang w:val="en-US"/>
        </w:rPr>
        <w:t>- Kurang memperhatikan hadis yang tampak bertentangan</w:t>
      </w:r>
    </w:p>
    <w:p>
      <w:pPr>
        <w:pStyle w:val="style0"/>
        <w:jc w:val="both"/>
        <w:rPr/>
      </w:pPr>
      <w:r>
        <w:rPr>
          <w:lang w:val="en-US"/>
        </w:rPr>
        <w:t>- Terlalu tekstual dalam memahami ayat</w:t>
      </w:r>
      <w:r>
        <w:rPr>
          <w:rStyle w:val="style38"/>
        </w:rPr>
        <w:footnoteReference w:id="10"/>
      </w:r>
    </w:p>
    <w:p>
      <w:pPr>
        <w:pStyle w:val="style0"/>
        <w:jc w:val="both"/>
        <w:rPr/>
      </w:pPr>
      <w:r>
        <w:rPr>
          <w:lang w:val="en-US"/>
        </w:rPr>
        <w:t>11. Kelemahan Pendapat Kedua</w:t>
      </w:r>
    </w:p>
    <w:p>
      <w:pPr>
        <w:pStyle w:val="style0"/>
        <w:jc w:val="both"/>
        <w:rPr/>
      </w:pPr>
      <w:r>
        <w:rPr>
          <w:lang w:val="en-US"/>
        </w:rPr>
        <w:t xml:space="preserve">Menafsirkan lafadz dari makna asli ke makna majazi tanpa qarinah kuat menurut sebagian ulama. </w:t>
      </w:r>
      <w:r>
        <w:rPr>
          <w:rStyle w:val="style38"/>
        </w:rPr>
        <w:footnoteReference w:id="11"/>
      </w:r>
    </w:p>
    <w:p>
      <w:pPr>
        <w:pStyle w:val="style0"/>
        <w:jc w:val="both"/>
        <w:rPr/>
      </w:pPr>
      <w:r>
        <w:rPr>
          <w:lang w:val="en-US"/>
        </w:rPr>
        <w:t>12. Kekuatan Pendapat Pertama</w:t>
      </w:r>
    </w:p>
    <w:p>
      <w:pPr>
        <w:pStyle w:val="style0"/>
        <w:jc w:val="both"/>
        <w:rPr>
          <w:lang w:val="en-US"/>
        </w:rPr>
      </w:pPr>
      <w:r>
        <w:rPr>
          <w:lang w:val="en-US"/>
        </w:rPr>
        <w:t>- Berpegang pada makna zahir Al-Qur’an</w:t>
      </w:r>
    </w:p>
    <w:p>
      <w:pPr>
        <w:pStyle w:val="style0"/>
        <w:jc w:val="both"/>
        <w:rPr/>
      </w:pPr>
      <w:r>
        <w:rPr>
          <w:lang w:val="en-US"/>
        </w:rPr>
        <w:t>- Lebih hati-hati dalam menjaga kesucian wudhu</w:t>
      </w:r>
      <w:r>
        <w:rPr>
          <w:rStyle w:val="style38"/>
        </w:rPr>
        <w:footnoteReference w:id="12"/>
      </w:r>
      <w:r>
        <w:rPr>
          <w:lang w:val="en-US"/>
        </w:rPr>
        <w:t xml:space="preserve">. </w:t>
      </w:r>
    </w:p>
    <w:p>
      <w:pPr>
        <w:pStyle w:val="style0"/>
        <w:jc w:val="both"/>
        <w:rPr/>
      </w:pPr>
      <w:r>
        <w:rPr>
          <w:lang w:val="en-US"/>
        </w:rPr>
        <w:t>13. Kekuatan Pendapat Kedua</w:t>
      </w:r>
    </w:p>
    <w:p>
      <w:pPr>
        <w:pStyle w:val="style0"/>
        <w:jc w:val="both"/>
        <w:rPr/>
      </w:pPr>
      <w:r>
        <w:rPr>
          <w:lang w:val="en-US"/>
        </w:rPr>
        <w:t>- Didukung hadis shahih</w:t>
      </w:r>
    </w:p>
    <w:p>
      <w:pPr>
        <w:pStyle w:val="style0"/>
        <w:jc w:val="both"/>
        <w:rPr/>
      </w:pPr>
      <w:r>
        <w:rPr>
          <w:lang w:val="en-US"/>
        </w:rPr>
        <w:t>- Lebih kontekstual dan realistis dalam praktik kehidupan</w:t>
      </w:r>
      <w:r>
        <w:rPr>
          <w:rStyle w:val="style38"/>
        </w:rPr>
        <w:footnoteReference w:id="13"/>
      </w:r>
    </w:p>
    <w:p>
      <w:pPr>
        <w:pStyle w:val="style0"/>
        <w:jc w:val="both"/>
        <w:rPr/>
      </w:pPr>
      <w:r>
        <w:rPr>
          <w:lang w:val="en-US"/>
        </w:rPr>
        <w:t>14. Persamaan Kedua Pendapat</w:t>
      </w:r>
    </w:p>
    <w:p>
      <w:pPr>
        <w:pStyle w:val="style0"/>
        <w:jc w:val="both"/>
        <w:rPr/>
      </w:pPr>
      <w:r>
        <w:rPr>
          <w:lang w:val="en-US"/>
        </w:rPr>
        <w:t>- Sama-sama bersandar pada Al-Qur’an dan hadis</w:t>
      </w:r>
    </w:p>
    <w:p>
      <w:pPr>
        <w:pStyle w:val="style0"/>
        <w:jc w:val="both"/>
        <w:rPr/>
      </w:pPr>
      <w:r>
        <w:rPr>
          <w:lang w:val="en-US"/>
        </w:rPr>
        <w:t>- Sama-sama bertujuan menjaga kesucian ibadah</w:t>
      </w:r>
    </w:p>
    <w:p>
      <w:pPr>
        <w:pStyle w:val="style0"/>
        <w:jc w:val="both"/>
        <w:rPr/>
      </w:pPr>
      <w:r>
        <w:rPr>
          <w:lang w:val="en-US"/>
        </w:rPr>
        <w:t>- Sama-sama diakui dalam khazanah fiqh Islam</w:t>
      </w:r>
      <w:r>
        <w:rPr>
          <w:rStyle w:val="style38"/>
        </w:rPr>
        <w:footnoteReference w:id="14"/>
      </w:r>
    </w:p>
    <w:p>
      <w:pPr>
        <w:pStyle w:val="style0"/>
        <w:jc w:val="both"/>
        <w:rPr/>
      </w:pPr>
      <w:r>
        <w:rPr>
          <w:lang w:val="en-US"/>
        </w:rPr>
        <w:t>15. Ulama yang Berpendapat Membatalkan</w:t>
      </w:r>
    </w:p>
    <w:p>
      <w:pPr>
        <w:pStyle w:val="style0"/>
        <w:jc w:val="both"/>
        <w:rPr/>
      </w:pPr>
      <w:r>
        <w:rPr>
          <w:lang w:val="en-US"/>
        </w:rPr>
        <w:t>- Imam Asy-Syafi’i</w:t>
      </w:r>
    </w:p>
    <w:p>
      <w:pPr>
        <w:pStyle w:val="style0"/>
        <w:jc w:val="both"/>
        <w:rPr/>
      </w:pPr>
      <w:r>
        <w:rPr>
          <w:lang w:val="en-US"/>
        </w:rPr>
        <w:t>- Imam An-Nawawi</w:t>
      </w:r>
    </w:p>
    <w:p>
      <w:pPr>
        <w:pStyle w:val="style0"/>
        <w:jc w:val="both"/>
        <w:rPr/>
      </w:pPr>
      <w:r>
        <w:rPr>
          <w:lang w:val="en-US"/>
        </w:rPr>
        <w:t xml:space="preserve">- Ulama mazhab Syafi’iyyah </w:t>
      </w:r>
      <w:r>
        <w:rPr>
          <w:rStyle w:val="style38"/>
        </w:rPr>
        <w:footnoteReference w:id="15"/>
      </w:r>
    </w:p>
    <w:p>
      <w:pPr>
        <w:pStyle w:val="style0"/>
        <w:jc w:val="both"/>
        <w:rPr/>
      </w:pPr>
      <w:r>
        <w:rPr>
          <w:lang w:val="en-US"/>
        </w:rPr>
        <w:t>16. Ulama yang Berpendapat Tidak Membatalkan</w:t>
      </w:r>
    </w:p>
    <w:p>
      <w:pPr>
        <w:pStyle w:val="style0"/>
        <w:jc w:val="both"/>
        <w:rPr/>
      </w:pPr>
      <w:r>
        <w:rPr>
          <w:lang w:val="en-US"/>
        </w:rPr>
        <w:t>- Imam Abu Hanifah</w:t>
      </w:r>
    </w:p>
    <w:p>
      <w:pPr>
        <w:pStyle w:val="style0"/>
        <w:jc w:val="both"/>
        <w:rPr/>
      </w:pPr>
      <w:r>
        <w:rPr>
          <w:lang w:val="en-US"/>
        </w:rPr>
        <w:t>- Imam Malik</w:t>
      </w:r>
    </w:p>
    <w:p>
      <w:pPr>
        <w:pStyle w:val="style0"/>
        <w:jc w:val="both"/>
        <w:rPr/>
      </w:pPr>
      <w:r>
        <w:rPr>
          <w:lang w:val="en-US"/>
        </w:rPr>
        <w:t>- Imam Ahmad bin Hanbal (dalam salah satu riwayat)</w:t>
      </w:r>
      <w:r>
        <w:rPr>
          <w:rStyle w:val="style38"/>
        </w:rPr>
        <w:footnoteReference w:id="16"/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lang w:val="en-US"/>
        </w:rPr>
        <w:t>17. Analisis Pendapat Pribadi</w:t>
      </w:r>
    </w:p>
    <w:p>
      <w:pPr>
        <w:pStyle w:val="style0"/>
        <w:jc w:val="both"/>
        <w:rPr/>
      </w:pPr>
      <w:r>
        <w:rPr>
          <w:lang w:val="en-US"/>
        </w:rPr>
        <w:t>Melihat dalil dan metode kedua pendapat, pendapat kedua (tidak membatalkan) memiliki kekuatan dalam:</w:t>
      </w:r>
    </w:p>
    <w:p>
      <w:pPr>
        <w:pStyle w:val="style0"/>
        <w:jc w:val="both"/>
        <w:rPr/>
      </w:pPr>
      <w:r>
        <w:rPr>
          <w:lang w:val="en-US"/>
        </w:rPr>
        <w:t>Menggabungkan Al-Qur’an dan hadis</w:t>
      </w:r>
    </w:p>
    <w:p>
      <w:pPr>
        <w:pStyle w:val="style0"/>
        <w:jc w:val="both"/>
        <w:rPr/>
      </w:pPr>
      <w:r>
        <w:rPr>
          <w:lang w:val="en-US"/>
        </w:rPr>
        <w:t>Didukung praktik langsung Nabi ﷺ</w:t>
      </w:r>
    </w:p>
    <w:p>
      <w:pPr>
        <w:pStyle w:val="style0"/>
        <w:jc w:val="both"/>
        <w:rPr/>
      </w:pPr>
      <w:r>
        <w:rPr>
          <w:lang w:val="en-US"/>
        </w:rPr>
        <w:t>Namun, pendapat pertama tetap kuat dari sisi kehati-hatian (ihtiyath).</w:t>
      </w:r>
    </w:p>
    <w:p>
      <w:pPr>
        <w:pStyle w:val="style0"/>
        <w:jc w:val="both"/>
        <w:rPr/>
      </w:pPr>
      <w:r>
        <w:rPr>
          <w:lang w:val="en-US"/>
        </w:rPr>
        <w:t>Sehingga, secara pribadi dapat disimpulkan:</w:t>
      </w:r>
    </w:p>
    <w:p>
      <w:pPr>
        <w:pStyle w:val="style0"/>
        <w:jc w:val="both"/>
        <w:rPr/>
      </w:pPr>
      <w:r>
        <w:rPr>
          <w:lang w:val="en-US"/>
        </w:rPr>
        <w:t>Pendapat kedua lebih kuat secara dalil</w:t>
      </w:r>
    </w:p>
    <w:p>
      <w:pPr>
        <w:pStyle w:val="style0"/>
        <w:jc w:val="both"/>
        <w:rPr/>
      </w:pPr>
      <w:r>
        <w:rPr>
          <w:lang w:val="en-US"/>
        </w:rPr>
        <w:t>Pendapat pertama lebih kuat secara kehati-hatian</w:t>
      </w:r>
    </w:p>
    <w:p>
      <w:pPr>
        <w:pStyle w:val="style0"/>
        <w:jc w:val="both"/>
        <w:rPr/>
      </w:pPr>
      <w:r>
        <w:rPr>
          <w:lang w:val="en-US"/>
        </w:rPr>
        <w:t>Sikap terbaik adalah:</w:t>
      </w:r>
    </w:p>
    <w:p>
      <w:pPr>
        <w:pStyle w:val="style0"/>
        <w:jc w:val="both"/>
        <w:rPr/>
      </w:pPr>
      <w:r>
        <w:rPr>
          <w:lang w:val="en-US"/>
        </w:rPr>
        <w:t>Mengikuti mazhab yang dianut</w:t>
      </w:r>
    </w:p>
    <w:p>
      <w:pPr>
        <w:pStyle w:val="style0"/>
        <w:jc w:val="both"/>
        <w:rPr/>
      </w:pPr>
      <w:r>
        <w:rPr>
          <w:lang w:val="en-US"/>
        </w:rPr>
        <w:t>Menghargai perbedaan (ikhtilaf) ulama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Wahbah Az-Zuhaili, Al-Fiqh Al-Islami wa Adillatuhu, Juz 1.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Ibnu Qudamah, Al-Mughni, Juz 1.</w:t>
      </w:r>
    </w:p>
  </w:footnote>
  <w:footnote w:id="3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QS. An-Nisa: 43.</w:t>
      </w:r>
    </w:p>
  </w:footnote>
  <w:footnote w:id="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Tafsir Ibnu Katsir, penafsiran QS. An-Nisa: 43.</w:t>
      </w:r>
    </w:p>
  </w:footnote>
  <w:footnote w:id="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HR. Abu Dawud dan Tirmidzi.</w:t>
      </w:r>
    </w:p>
  </w:footnote>
  <w:footnote w:id="6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Abdul Wahhab Khallaf, Ilmu Ushul Fiqh.</w:t>
      </w:r>
    </w:p>
  </w:footnote>
  <w:footnote w:id="7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Asy-Syaukani, Irsyad Al-Fuhul.</w:t>
      </w:r>
    </w:p>
  </w:footnote>
  <w:footnote w:id="8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Imam Asy-Syafi’i, Al-Umm.</w:t>
      </w:r>
    </w:p>
  </w:footnote>
  <w:footnote w:id="9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Ibnu Katsir, Tafsir Al-Qur’an Al-Azhim.</w:t>
      </w:r>
    </w:p>
  </w:footnote>
  <w:footnote w:id="10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Wahbah Az-Zuhaili, Al-Fiqh Al-Islami.</w:t>
      </w:r>
    </w:p>
  </w:footnote>
  <w:footnote w:id="1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Asy-Syaukani, Nailul Authar.</w:t>
      </w:r>
    </w:p>
  </w:footnote>
  <w:footnote w:id="1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An-Nawawi, Al-Majmu’.</w:t>
      </w:r>
    </w:p>
  </w:footnote>
  <w:footnote w:id="13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Ibnu Qudamah, Al-Mughni.</w:t>
      </w:r>
    </w:p>
  </w:footnote>
  <w:footnote w:id="1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Yusuf Al-Qaradawi, Fiqh Ikhtilaf.</w:t>
      </w:r>
    </w:p>
  </w:footnote>
  <w:footnote w:id="1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An-Nawawi, Al-Majmu’ Syarh Al-Muhadzdzab.</w:t>
      </w:r>
    </w:p>
  </w:footnote>
  <w:footnote w:id="16">
    <w:p>
      <w:pPr>
        <w:pStyle w:val="style29"/>
        <w:rPr/>
      </w:pPr>
      <w:r>
        <w:rPr>
          <w:rStyle w:val="style38"/>
        </w:rPr>
        <w:footnoteRef/>
      </w:r>
      <w:r>
        <w:t xml:space="preserve"> Ibnu Rusyd, Bidayatul Mujtahid.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466</Words>
  <Characters>2966</Characters>
  <Application>WPS Office</Application>
  <Paragraphs>87</Paragraphs>
  <CharactersWithSpaces>3369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2026-04-23T03:13:29Z</dcterms:created>
  <dc:creator>V2352</dc:creator>
  <lastModifiedBy>V2352</lastModifiedBy>
  <dcterms:modified xsi:type="dcterms:W3CDTF">2026-04-23T03:40:37Z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3b93856cb2474079a7be7fcfa0a3609b</vt:lpwstr>
  </property>
</Properties>
</file>