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 w:line="276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NAMA</w:t>
        <w:tab/>
        <w:t>: khofifah</w:t>
      </w:r>
    </w:p>
    <w:p>
      <w:pPr>
        <w:spacing w:after="0" w:line="276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NIM</w:t>
        <w:tab/>
        <w:tab/>
        <w:t>: 23051133</w:t>
      </w:r>
    </w:p>
    <w:p>
      <w:pPr>
        <w:spacing w:after="0" w:line="276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KELAS</w:t>
        <w:tab/>
        <w:t>: PAI 6 C</w:t>
      </w:r>
    </w:p>
    <w:p>
      <w:pPr>
        <w:pBdr>
          <w:bottom w:val="thinThickThinMediumGap" w:sz="18" w:space="1" w:color="auto"/>
        </w:pBdr>
        <w:spacing w:after="0" w:line="276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MK</w:t>
        <w:tab/>
        <w:tab/>
        <w:t>: MASAILUL FIQIYAH</w:t>
      </w:r>
    </w:p>
    <w:p>
      <w:pPr>
        <w:spacing w:after="0" w:line="276" w:lineRule="auto"/>
        <w:jc w:val="center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</w:p>
    <w:p>
      <w:pPr>
        <w:spacing w:after="0" w:line="276" w:lineRule="auto"/>
        <w:jc w:val="center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bookmarkStart w:id="0" w:name="_GoBack"/>
      <w:bookmarkEnd w:id="0"/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Hukum menyentuh lawan jenis (ajnabi) apakah membatalkan wudhu.</w:t>
      </w:r>
    </w:p>
    <w:p>
      <w:pPr>
        <w:spacing w:after="0" w:line="276" w:lineRule="auto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18"/>
        <w:numPr>
          <w:ilvl w:val="0"/>
          <w:numId w:val="1"/>
        </w:numPr>
        <w:spacing w:after="0" w:line="276" w:lineRule="auto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Masalah: Hukum menyentuh lawan jenis (ajnabi) apakah membatalkan wudhu.</w:t>
      </w:r>
    </w:p>
    <w:p>
      <w:pPr>
        <w:pStyle w:val="18"/>
        <w:numPr>
          <w:ilvl w:val="0"/>
          <w:numId w:val="1"/>
        </w:numPr>
        <w:spacing w:after="0" w:line="276" w:lineRule="auto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 xml:space="preserve">Pendapat pertama: 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Menyentuh lawan jenis membatalkan wudhu secara mutlak, baik dengan syahwat maupun tidak. Pendapat ini masyhur dalam mazhab Syafi’i.</w:t>
      </w:r>
    </w:p>
    <w:p>
      <w:pPr>
        <w:pStyle w:val="18"/>
        <w:numPr>
          <w:ilvl w:val="0"/>
          <w:numId w:val="1"/>
        </w:numPr>
        <w:spacing w:after="0" w:line="276" w:lineRule="auto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Pendapat kedua: Tidak boleh / terlarang dalam kondisi tertentu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Menyentuh lawan jenis tidak membatalkan wudhu, kecuali jika disertai syahwat (menurut sebagian ulama), atau bahkan tidak membatalkan sama sekali (mazhab Hanafi). </w:t>
      </w:r>
    </w:p>
    <w:p>
      <w:pPr>
        <w:pStyle w:val="18"/>
        <w:numPr>
          <w:ilvl w:val="0"/>
          <w:numId w:val="1"/>
        </w:numPr>
        <w:spacing w:after="0" w:line="276" w:lineRule="auto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Dalil pendapat pertama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 w:hint="eastAsia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Firman Allah dalam QS. An-Nisa: 43: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 w:hint="eastAsia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“…atau kamu telah menyentuh perempuan (lamastum an-nisa’)…”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Kata lamastum dipahami secara hakiki (menyentuh secara fisik).¹</w:t>
      </w:r>
    </w:p>
    <w:p>
      <w:pPr>
        <w:pStyle w:val="18"/>
        <w:numPr>
          <w:ilvl w:val="0"/>
          <w:numId w:val="1"/>
        </w:numPr>
        <w:spacing w:after="0" w:line="276" w:lineRule="auto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Dalil pendapat kedua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 w:hint="eastAsia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Hadis dari Aisyah r.a.: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 w:hint="eastAsia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“Nabi ﷺ pernah mencium sebagian istrinya, kemudian beliau shalat dan tidak berwudhu lagi.”²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Ini menunjukkan bahwa sentuhan tidak membatalkan wudhu.</w:t>
      </w:r>
    </w:p>
    <w:p>
      <w:pPr>
        <w:pStyle w:val="18"/>
        <w:numPr>
          <w:ilvl w:val="0"/>
          <w:numId w:val="1"/>
        </w:numPr>
        <w:spacing w:after="0" w:line="276" w:lineRule="auto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Metode yang dipakai pendapat pertama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Menggunakan metode pemahaman lafadz secara zahir (tekstual/lughawi) terhadap kata lamastum dalam Al-Qur’an.³</w:t>
      </w:r>
    </w:p>
    <w:p>
      <w:pPr>
        <w:pStyle w:val="18"/>
        <w:numPr>
          <w:ilvl w:val="0"/>
          <w:numId w:val="1"/>
        </w:numPr>
        <w:spacing w:after="0" w:line="276" w:lineRule="auto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Metode yang dipakai pendapat kedua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Menggunakan metode ta’wil dan penggabungan dalil (jam’u wa taufiq), yaitu memahami lamastum sebagai jima’ (hubungan suami istri), bukan sekadar sentuhan.⁴</w:t>
      </w:r>
    </w:p>
    <w:p>
      <w:pPr>
        <w:pStyle w:val="18"/>
        <w:numPr>
          <w:ilvl w:val="0"/>
          <w:numId w:val="1"/>
        </w:numPr>
        <w:spacing w:after="0" w:line="276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Mengapa ulama pertama memperbolehkan</w:t>
      </w:r>
      <w:r>
        <w:rPr>
          <w:rFonts w:ascii="Times New Roman" w:cs="Times New Roman" w:hAnsi="Times New Roman"/>
          <w:sz w:val="24"/>
          <w:szCs w:val="24"/>
        </w:rPr>
        <w:t>?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Karena berpegang pada makna bahasa asli (hakiki) dari kata “menyentuh”, sehingga setiap kontak fisik dianggap membatalkan.⁵</w:t>
      </w:r>
    </w:p>
    <w:p>
      <w:pPr>
        <w:pStyle w:val="18"/>
        <w:numPr>
          <w:ilvl w:val="0"/>
          <w:numId w:val="1"/>
        </w:numPr>
        <w:spacing w:after="0" w:line="276" w:lineRule="auto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Mengapa ulama kedua melarang?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Karena ada hadis sahih yang menunjukkan Nabi ﷺ menyentuh/ mencium istri tanpa berwudhu, sehingga ayat harus ditafsirkan secara majazi (kiasan).⁶</w:t>
      </w:r>
    </w:p>
    <w:p>
      <w:pPr>
        <w:pStyle w:val="18"/>
        <w:numPr>
          <w:ilvl w:val="0"/>
          <w:numId w:val="1"/>
        </w:numPr>
        <w:spacing w:after="0" w:line="276" w:lineRule="auto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Dari sisi mana pendapat pertama lemah?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Kurang mempertimbangkan hadis-hadis yang secara jelas menunjukkan tidak batalnya wudhu karena sentuhan.⁷</w:t>
      </w:r>
    </w:p>
    <w:p>
      <w:pPr>
        <w:pStyle w:val="18"/>
        <w:numPr>
          <w:ilvl w:val="0"/>
          <w:numId w:val="1"/>
        </w:numPr>
        <w:spacing w:after="0" w:line="276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Dari sisi mana pendapat kedua lemah</w:t>
      </w:r>
      <w:r>
        <w:rPr>
          <w:rFonts w:ascii="Times New Roman" w:cs="Times New Roman" w:hAnsi="Times New Roman"/>
          <w:sz w:val="24"/>
          <w:szCs w:val="24"/>
        </w:rPr>
        <w:t>?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Penafsiran kata lamastum sebagai jima’ dianggap menyimpang dari makna zahir ayat oleh sebagian ulama.⁸</w:t>
      </w:r>
    </w:p>
    <w:p>
      <w:pPr>
        <w:pStyle w:val="18"/>
        <w:numPr>
          <w:ilvl w:val="0"/>
          <w:numId w:val="1"/>
        </w:numPr>
        <w:spacing w:after="0" w:line="276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Dari sisi mana pendapat pertama kuat?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Berpegang kuat pada teks Al-Qur’an secara langsung tanpa penafsiran tambahan.⁹</w:t>
      </w:r>
    </w:p>
    <w:p>
      <w:pPr>
        <w:pStyle w:val="18"/>
        <w:numPr>
          <w:ilvl w:val="0"/>
          <w:numId w:val="1"/>
        </w:numPr>
        <w:spacing w:after="0" w:line="276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Dari sisi mana pendapat kedua kuat</w:t>
      </w:r>
      <w:r>
        <w:rPr>
          <w:rFonts w:ascii="Times New Roman" w:cs="Times New Roman" w:hAnsi="Times New Roman"/>
          <w:sz w:val="24"/>
          <w:szCs w:val="24"/>
        </w:rPr>
        <w:t>?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Didukung oleh hadis sahih dan praktik langsung Nabi ﷺ (dalil fi’li).¹⁰</w:t>
      </w:r>
    </w:p>
    <w:p>
      <w:pPr>
        <w:pStyle w:val="18"/>
        <w:numPr>
          <w:ilvl w:val="0"/>
          <w:numId w:val="1"/>
        </w:numPr>
        <w:spacing w:after="0" w:line="276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Persamaan kedua pendapat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 w:hint="eastAsia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K</w:t>
      </w:r>
      <w:r>
        <w:rPr>
          <w:rFonts w:ascii="Times New Roman" w:cs="Times New Roman" w:hAnsi="Times New Roman" w:hint="eastAsia"/>
          <w:sz w:val="24"/>
          <w:szCs w:val="24"/>
        </w:rPr>
        <w:t>eduanya sama-sama: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 w:hint="eastAsia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Bersumber dari Al-Qur’an dan Hadis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 w:hint="eastAsia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Menggunakan metode ijtihad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Bertujuan menjaga kesucian ibadah</w:t>
      </w:r>
    </w:p>
    <w:p>
      <w:pPr>
        <w:pStyle w:val="18"/>
        <w:numPr>
          <w:ilvl w:val="0"/>
          <w:numId w:val="1"/>
        </w:numPr>
        <w:spacing w:after="0" w:line="276" w:lineRule="auto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Ulama yang berpendapat membatalkan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 w:hint="eastAsia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Imam Syafi’i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 w:hint="eastAsia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Imam Nawawi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Mayoritas ulama Syafi’iyyah¹¹</w:t>
      </w:r>
    </w:p>
    <w:p>
      <w:pPr>
        <w:pStyle w:val="18"/>
        <w:numPr>
          <w:ilvl w:val="0"/>
          <w:numId w:val="1"/>
        </w:numPr>
        <w:spacing w:after="0" w:line="276" w:lineRule="auto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Ulama yang berpendapat tidak membatalkan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 w:hint="eastAsia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Imam Abu Hanifah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 w:hint="eastAsia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Imam Malik (dengan rincian syahwat)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Imam Ahmad (salah satu riwayat)¹²</w:t>
      </w:r>
    </w:p>
    <w:p>
      <w:pPr>
        <w:pStyle w:val="18"/>
        <w:numPr>
          <w:ilvl w:val="0"/>
          <w:numId w:val="1"/>
        </w:numPr>
        <w:spacing w:after="0" w:line="276" w:lineRule="auto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Analisis pendapat pribadi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Pendapat yang menyatakan tidak membatalkan wudhu lebih kuat, karena: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Didukung hadis sahih yang jelas (praktik Nabi)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Menggunakan pendekatan komprehensif (menggabungkan dalil)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Lebih sesuai dengan kemudahan dalam syariat (raf’ul haraj)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Namun, pendapat pertama tetap kuat dari sisi kehati-hatian (ihtiyath).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spacing w:after="0" w:line="276" w:lineRule="auto"/>
        <w:ind w:firstLine="720"/>
        <w:jc w:val="both"/>
        <w:rPr>
          <w:rFonts w:ascii="Times New Roman" w:cs="Times New Roman" w:hAnsi="Times New Roman" w:hint="eastAsia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Al-Qur’an, QS. An-Nisa: 43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 w:hint="eastAsia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HR. Abu Dawud dan Tirmidzi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 w:hint="eastAsia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Wahbah Az-Zuhaili, Al-Fiqh Al-Islami wa Adillatuhu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 w:hint="eastAsia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Ibid.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 w:hint="eastAsia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Imam Syafi’i, Al-Umm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 w:hint="eastAsia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HR. Aisyah r.a.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 w:hint="eastAsia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Yusuf Al-Qaradawi, Fiqh At-Taharah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 w:hint="eastAsia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Ibid.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 w:hint="eastAsia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Imam Nawawi, Al-Majmu’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 w:hint="eastAsia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HR. Abu Dawud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 w:hint="eastAsia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Imam Nawawi, Al-Majmu’ Syarh Al-Muhadzdzab</w:t>
      </w:r>
    </w:p>
    <w:p>
      <w:pPr>
        <w:spacing w:after="0" w:line="276" w:lineRule="auto"/>
        <w:ind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 w:hint="eastAsia"/>
          <w:sz w:val="24"/>
          <w:szCs w:val="24"/>
        </w:rPr>
        <w:t>Ibnu Qudamah, Al-Mughni</w:t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4AF6783E"/>
    <w:multiLevelType w:val="hybridMultilevel"/>
    <w:tmpl w:val="029A2284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Arial" w:hAnsi="Calibri"/>
      <w:kern w:val="2"/>
      <w:sz w:val="22"/>
      <w:szCs w:val="22"/>
      <w:lang w:val="en-ID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Calibri Light" w:eastAsia="等线 Light" w:cs="Times New Roman" w:hAnsi="Calibri Light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Calibri Light" w:eastAsia="等线 Light" w:cs="Times New Roman" w:hAnsi="Calibri Light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libri Light" w:eastAsia="等线 Light" w:cs="Times New Roman" w:hAnsi="Calibri Light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  <w:style w:type="paragraph" w:styleId="22">
    <w:name w:val="footnote text"/>
    <w:basedOn w:val="0"/>
    <w:pPr>
      <w:spacing w:after="0" w:line="240" w:lineRule="auto"/>
    </w:pPr>
    <w:rPr>
      <w:sz w:val="20"/>
      <w:szCs w:val="20"/>
    </w:rPr>
  </w:style>
  <w:style w:type="character" w:styleId="23">
    <w:name w:val="footnote reference"/>
    <w:basedOn w:val="1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40</TotalTime>
  <Application>Yozo_Office</Application>
  <Pages>3</Pages>
  <Words>479</Words>
  <Characters>2742</Characters>
  <Lines>79</Lines>
  <Paragraphs>65</Paragraphs>
  <CharactersWithSpaces>3116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Nikma Jaenab</dc:creator>
  <cp:lastModifiedBy>Pengguna vivo</cp:lastModifiedBy>
  <cp:revision>1</cp:revision>
  <dcterms:created xsi:type="dcterms:W3CDTF">2026-04-22T12:14:00Z</dcterms:created>
  <dcterms:modified xsi:type="dcterms:W3CDTF">2026-04-23T02:44:26Z</dcterms:modified>
</cp:coreProperties>
</file>