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03E9" w14:textId="11A5B0BD" w:rsidR="000420EE" w:rsidRDefault="005F48C7">
      <w:r>
        <w:t xml:space="preserve">Tugas masailul fiqhiyah </w:t>
      </w:r>
    </w:p>
    <w:p w14:paraId="10992F39" w14:textId="5EC58EE9" w:rsidR="005F48C7" w:rsidRDefault="005F48C7">
      <w:r>
        <w:t xml:space="preserve">Nama : Widiya Arini R </w:t>
      </w:r>
    </w:p>
    <w:p w14:paraId="35FBC4B5" w14:textId="370D28A8" w:rsidR="000420EE" w:rsidRDefault="000420EE" w:rsidP="000420EE">
      <w:pPr>
        <w:pStyle w:val="DaftarParagraf"/>
        <w:numPr>
          <w:ilvl w:val="0"/>
          <w:numId w:val="2"/>
        </w:numPr>
      </w:pPr>
      <w:r>
        <w:t>Masalah</w:t>
      </w:r>
    </w:p>
    <w:p w14:paraId="16B61D09" w14:textId="77777777" w:rsidR="000420EE" w:rsidRDefault="000420EE">
      <w:r>
        <w:t>Hukum menyentuh lawan jenis (non-mahram) apakah membatalkan wudhu.</w:t>
      </w:r>
    </w:p>
    <w:p w14:paraId="6384AE78" w14:textId="4B631F3E" w:rsidR="000420EE" w:rsidRDefault="000420EE" w:rsidP="000420EE">
      <w:pPr>
        <w:pStyle w:val="DaftarParagraf"/>
        <w:numPr>
          <w:ilvl w:val="0"/>
          <w:numId w:val="2"/>
        </w:numPr>
      </w:pPr>
      <w:r>
        <w:t>Pendapat pertama</w:t>
      </w:r>
    </w:p>
    <w:p w14:paraId="74262761" w14:textId="77777777" w:rsidR="000420EE" w:rsidRDefault="000420EE">
      <w:r>
        <w:t>Menyentuh lawan jenis membatalkan wudhu, baik dengan syahwat atau tidak.</w:t>
      </w:r>
    </w:p>
    <w:p w14:paraId="76C1A2C1" w14:textId="14375A6D" w:rsidR="000420EE" w:rsidRDefault="000420EE" w:rsidP="000420EE">
      <w:pPr>
        <w:pStyle w:val="DaftarParagraf"/>
        <w:numPr>
          <w:ilvl w:val="0"/>
          <w:numId w:val="2"/>
        </w:numPr>
      </w:pPr>
      <w:r>
        <w:t>Pendapat kedua</w:t>
      </w:r>
    </w:p>
    <w:p w14:paraId="7D8DC351" w14:textId="77777777" w:rsidR="000420EE" w:rsidRDefault="000420EE">
      <w:r>
        <w:t>Menyentuh lawan jenis tidak membatalkan wudhu, kecuali jika disertai syahwat (atau tidak sama sekali membatalkan).</w:t>
      </w:r>
    </w:p>
    <w:p w14:paraId="428AE859" w14:textId="53106747" w:rsidR="000420EE" w:rsidRDefault="000420EE" w:rsidP="000420EE">
      <w:pPr>
        <w:pStyle w:val="DaftarParagraf"/>
        <w:numPr>
          <w:ilvl w:val="0"/>
          <w:numId w:val="2"/>
        </w:numPr>
      </w:pPr>
      <w:r>
        <w:t>Dalil pendapat pertama</w:t>
      </w:r>
    </w:p>
    <w:p w14:paraId="660063CA" w14:textId="5E8CF3F4" w:rsidR="000420EE" w:rsidRDefault="000420EE">
      <w:r>
        <w:t>QS. An-Nisa: 43 → “...atau kamu telah menyentuh perempuan.</w:t>
      </w:r>
      <w:r w:rsidR="00CC6FD5">
        <w:rPr>
          <w:rStyle w:val="ReferensiCatatanKaki"/>
        </w:rPr>
        <w:footnoteReference w:id="1"/>
      </w:r>
    </w:p>
    <w:p w14:paraId="380124D5" w14:textId="00B1B6DB" w:rsidR="000420EE" w:rsidRDefault="000420EE" w:rsidP="000420EE">
      <w:pPr>
        <w:pStyle w:val="DaftarParagraf"/>
        <w:numPr>
          <w:ilvl w:val="0"/>
          <w:numId w:val="2"/>
        </w:numPr>
      </w:pPr>
      <w:r>
        <w:t>Dalil pendapat kedua</w:t>
      </w:r>
    </w:p>
    <w:p w14:paraId="1EEEE12A" w14:textId="3C4A78CD" w:rsidR="000420EE" w:rsidRDefault="000420EE">
      <w:r>
        <w:t>Hadis: Nabi ﷺ pernah mencium istrinya lalu shalat tanpa wudhu lagi</w:t>
      </w:r>
      <w:r w:rsidR="00D96DB0">
        <w:rPr>
          <w:rStyle w:val="ReferensiCatatanKaki"/>
        </w:rPr>
        <w:footnoteReference w:id="2"/>
      </w:r>
    </w:p>
    <w:p w14:paraId="4D40BD4E" w14:textId="1F13F34C" w:rsidR="000420EE" w:rsidRDefault="000420EE" w:rsidP="000420EE">
      <w:pPr>
        <w:pStyle w:val="DaftarParagraf"/>
        <w:numPr>
          <w:ilvl w:val="0"/>
          <w:numId w:val="2"/>
        </w:numPr>
      </w:pPr>
      <w:r>
        <w:t>Metode pendapat pertama</w:t>
      </w:r>
    </w:p>
    <w:p w14:paraId="47AB4A41" w14:textId="77777777" w:rsidR="000420EE" w:rsidRDefault="000420EE">
      <w:r>
        <w:t>Menggunakan makna tekstual (dzahir) dari ayat Al-Qur’an.</w:t>
      </w:r>
    </w:p>
    <w:p w14:paraId="114C6F31" w14:textId="441D72D7" w:rsidR="000420EE" w:rsidRDefault="000420EE" w:rsidP="000420EE">
      <w:pPr>
        <w:pStyle w:val="DaftarParagraf"/>
        <w:numPr>
          <w:ilvl w:val="0"/>
          <w:numId w:val="2"/>
        </w:numPr>
      </w:pPr>
      <w:r>
        <w:t>Metode pendapat kedua</w:t>
      </w:r>
    </w:p>
    <w:p w14:paraId="3C525A88" w14:textId="77777777" w:rsidR="000420EE" w:rsidRDefault="000420EE">
      <w:r>
        <w:t>Menggunakan pemahaman kontekstual + hadis sebagai penjelas ayat.</w:t>
      </w:r>
    </w:p>
    <w:p w14:paraId="3E67E1EE" w14:textId="79EEEE77" w:rsidR="000420EE" w:rsidRDefault="000420EE" w:rsidP="000420EE">
      <w:pPr>
        <w:pStyle w:val="DaftarParagraf"/>
        <w:numPr>
          <w:ilvl w:val="0"/>
          <w:numId w:val="2"/>
        </w:numPr>
      </w:pPr>
      <w:r>
        <w:t>Alasan ulama pertama</w:t>
      </w:r>
    </w:p>
    <w:p w14:paraId="32534F17" w14:textId="77777777" w:rsidR="000420EE" w:rsidRDefault="000420EE">
      <w:r>
        <w:t>Karena kata “menyentuh” dalam ayat dipahami secara langsung (fisik).</w:t>
      </w:r>
    </w:p>
    <w:p w14:paraId="410DE0D9" w14:textId="010729BD" w:rsidR="000420EE" w:rsidRDefault="000420EE" w:rsidP="000420EE">
      <w:pPr>
        <w:pStyle w:val="DaftarParagraf"/>
        <w:numPr>
          <w:ilvl w:val="0"/>
          <w:numId w:val="2"/>
        </w:numPr>
      </w:pPr>
      <w:r>
        <w:t>Alasan ulama kedua</w:t>
      </w:r>
    </w:p>
    <w:p w14:paraId="4C77C736" w14:textId="77777777" w:rsidR="000420EE" w:rsidRDefault="000420EE">
      <w:r>
        <w:t>Karena “menyentuh” ditafsirkan sebagai jima’ (hubungan suami istri), bukan sekadar sentuhan.</w:t>
      </w:r>
    </w:p>
    <w:p w14:paraId="2A224F6A" w14:textId="7B403310" w:rsidR="000420EE" w:rsidRDefault="000420EE" w:rsidP="000420EE">
      <w:pPr>
        <w:pStyle w:val="DaftarParagraf"/>
        <w:numPr>
          <w:ilvl w:val="0"/>
          <w:numId w:val="2"/>
        </w:numPr>
      </w:pPr>
      <w:r>
        <w:t>Kelemahan pendapat pertama</w:t>
      </w:r>
    </w:p>
    <w:p w14:paraId="014D6576" w14:textId="77777777" w:rsidR="000420EE" w:rsidRDefault="000420EE">
      <w:r>
        <w:t>Kurang mempertimbangkan hadis yang menunjukkan Nabi tidak berwudhu lagi.</w:t>
      </w:r>
    </w:p>
    <w:p w14:paraId="113A0C14" w14:textId="750FBA3E" w:rsidR="000420EE" w:rsidRDefault="000420EE" w:rsidP="000420EE">
      <w:pPr>
        <w:pStyle w:val="DaftarParagraf"/>
        <w:numPr>
          <w:ilvl w:val="0"/>
          <w:numId w:val="2"/>
        </w:numPr>
      </w:pPr>
      <w:r>
        <w:t>Kelemahan pendapat kedua</w:t>
      </w:r>
    </w:p>
    <w:p w14:paraId="7AEE152F" w14:textId="77777777" w:rsidR="000420EE" w:rsidRDefault="000420EE">
      <w:r>
        <w:t>Penafsiran “menyentuh” sebagai jima’ dianggap terlalu jauh dari makna asli.</w:t>
      </w:r>
    </w:p>
    <w:p w14:paraId="1AAFA114" w14:textId="644C3B91" w:rsidR="000420EE" w:rsidRDefault="000420EE" w:rsidP="000420EE">
      <w:pPr>
        <w:pStyle w:val="DaftarParagraf"/>
        <w:numPr>
          <w:ilvl w:val="0"/>
          <w:numId w:val="2"/>
        </w:numPr>
      </w:pPr>
      <w:r>
        <w:t>Kekuatan pendapat pertama</w:t>
      </w:r>
    </w:p>
    <w:p w14:paraId="5EC334D6" w14:textId="77777777" w:rsidR="000420EE" w:rsidRDefault="000420EE">
      <w:r>
        <w:lastRenderedPageBreak/>
        <w:t>Berpegang kuat pada teks Al-Qur’an secara langsung.</w:t>
      </w:r>
    </w:p>
    <w:p w14:paraId="01CED4E8" w14:textId="2B5A478E" w:rsidR="000420EE" w:rsidRDefault="000420EE" w:rsidP="000420EE">
      <w:pPr>
        <w:pStyle w:val="DaftarParagraf"/>
        <w:numPr>
          <w:ilvl w:val="0"/>
          <w:numId w:val="2"/>
        </w:numPr>
      </w:pPr>
      <w:r>
        <w:t>Kekuatan pendapat kedua</w:t>
      </w:r>
    </w:p>
    <w:p w14:paraId="76CA6F9E" w14:textId="77777777" w:rsidR="000420EE" w:rsidRDefault="000420EE">
      <w:r>
        <w:t>Didukung oleh hadis yang menjelaskan praktik Nabi.</w:t>
      </w:r>
    </w:p>
    <w:p w14:paraId="4F28E81A" w14:textId="5299C4BA" w:rsidR="000420EE" w:rsidRDefault="000420EE" w:rsidP="000420EE">
      <w:pPr>
        <w:pStyle w:val="DaftarParagraf"/>
        <w:numPr>
          <w:ilvl w:val="0"/>
          <w:numId w:val="2"/>
        </w:numPr>
      </w:pPr>
      <w:r>
        <w:t>Persamaan keduanya</w:t>
      </w:r>
    </w:p>
    <w:p w14:paraId="6F5D06D5" w14:textId="77777777" w:rsidR="000420EE" w:rsidRDefault="000420EE">
      <w:r>
        <w:t>Sama-sama bersumber dari Al-Qur’an dan hadis, hanya berbeda cara memahami.</w:t>
      </w:r>
    </w:p>
    <w:p w14:paraId="5EDC0DF7" w14:textId="207E6A12" w:rsidR="000420EE" w:rsidRDefault="000420EE" w:rsidP="000420EE">
      <w:pPr>
        <w:pStyle w:val="DaftarParagraf"/>
        <w:numPr>
          <w:ilvl w:val="0"/>
          <w:numId w:val="2"/>
        </w:numPr>
      </w:pPr>
      <w:r>
        <w:t>Ulama yang mengatakan membatalkan</w:t>
      </w:r>
    </w:p>
    <w:p w14:paraId="3B10AED9" w14:textId="03457BF5" w:rsidR="000420EE" w:rsidRDefault="000420EE">
      <w:r>
        <w:t>Imam Syafi’i dan pengikut mazhab Syafi’i</w:t>
      </w:r>
      <w:r w:rsidR="0079035F">
        <w:rPr>
          <w:rStyle w:val="ReferensiCatatanKaki"/>
        </w:rPr>
        <w:footnoteReference w:id="3"/>
      </w:r>
    </w:p>
    <w:p w14:paraId="0A1086D0" w14:textId="0FDE8A5C" w:rsidR="000420EE" w:rsidRDefault="000420EE" w:rsidP="000420EE">
      <w:pPr>
        <w:pStyle w:val="DaftarParagraf"/>
        <w:numPr>
          <w:ilvl w:val="0"/>
          <w:numId w:val="2"/>
        </w:numPr>
      </w:pPr>
      <w:r>
        <w:t>Ulama yang mengatakan tidak membatalkan</w:t>
      </w:r>
    </w:p>
    <w:p w14:paraId="37109415" w14:textId="59C181EB" w:rsidR="000420EE" w:rsidRDefault="000420EE">
      <w:r>
        <w:t>Imam Abu Hanifah, Imam Malik (sebagian), Imam Ahmad (dengan syahwat)</w:t>
      </w:r>
      <w:r w:rsidR="00E24C13">
        <w:rPr>
          <w:rStyle w:val="ReferensiCatatanKaki"/>
        </w:rPr>
        <w:footnoteReference w:id="4"/>
      </w:r>
    </w:p>
    <w:p w14:paraId="120DBE27" w14:textId="6B3088E2" w:rsidR="000420EE" w:rsidRDefault="000420EE" w:rsidP="000420EE">
      <w:pPr>
        <w:pStyle w:val="DaftarParagraf"/>
        <w:numPr>
          <w:ilvl w:val="0"/>
          <w:numId w:val="2"/>
        </w:numPr>
      </w:pPr>
      <w:r>
        <w:t>Analisis pribadi</w:t>
      </w:r>
    </w:p>
    <w:p w14:paraId="28935413" w14:textId="3BFA502D" w:rsidR="000420EE" w:rsidRDefault="000420EE">
      <w:r>
        <w:t>Pendapat kedua lebih kuat karena menggabungkan Al-Qur’an dan hadis, serta sesuai praktik Nabi. Namun, untuk kehati-hatian (ihtiyath), pendapat pertama juga baik diikuti dalam ibadah.</w:t>
      </w:r>
    </w:p>
    <w:p w14:paraId="31592B33" w14:textId="77777777" w:rsidR="00612B54" w:rsidRDefault="00612B54"/>
    <w:sectPr w:rsidR="00612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A74B8" w14:textId="77777777" w:rsidR="00CC6FD5" w:rsidRDefault="00CC6FD5" w:rsidP="00CC6FD5">
      <w:pPr>
        <w:spacing w:after="0" w:line="240" w:lineRule="auto"/>
      </w:pPr>
      <w:r>
        <w:separator/>
      </w:r>
    </w:p>
  </w:endnote>
  <w:endnote w:type="continuationSeparator" w:id="0">
    <w:p w14:paraId="2F82D7EC" w14:textId="77777777" w:rsidR="00CC6FD5" w:rsidRDefault="00CC6FD5" w:rsidP="00CC6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2A4E0" w14:textId="77777777" w:rsidR="00CC6FD5" w:rsidRDefault="00CC6FD5" w:rsidP="00CC6FD5">
      <w:pPr>
        <w:spacing w:after="0" w:line="240" w:lineRule="auto"/>
      </w:pPr>
      <w:r>
        <w:separator/>
      </w:r>
    </w:p>
  </w:footnote>
  <w:footnote w:type="continuationSeparator" w:id="0">
    <w:p w14:paraId="6B3A13FC" w14:textId="77777777" w:rsidR="00CC6FD5" w:rsidRDefault="00CC6FD5" w:rsidP="00CC6FD5">
      <w:pPr>
        <w:spacing w:after="0" w:line="240" w:lineRule="auto"/>
      </w:pPr>
      <w:r>
        <w:continuationSeparator/>
      </w:r>
    </w:p>
  </w:footnote>
  <w:footnote w:id="1">
    <w:p w14:paraId="6077C017" w14:textId="15AB1630" w:rsidR="00CC6FD5" w:rsidRDefault="00CC6FD5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8E6447">
        <w:t>QS. An-Nisa: 43</w:t>
      </w:r>
    </w:p>
  </w:footnote>
  <w:footnote w:id="2">
    <w:p w14:paraId="10091AF4" w14:textId="0B09935F" w:rsidR="00D96DB0" w:rsidRDefault="00D96DB0">
      <w:pPr>
        <w:pStyle w:val="TeksCatatanKaki"/>
      </w:pPr>
      <w:r>
        <w:rPr>
          <w:rStyle w:val="ReferensiCatatanKaki"/>
        </w:rPr>
        <w:footnoteRef/>
      </w:r>
      <w:r>
        <w:t xml:space="preserve"> HR. Abu Dawud dan Tirmidzi</w:t>
      </w:r>
    </w:p>
  </w:footnote>
  <w:footnote w:id="3">
    <w:p w14:paraId="1BB106AD" w14:textId="331157E8" w:rsidR="0079035F" w:rsidRDefault="0079035F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E24C13">
        <w:t>Imam Syafi’i, Al-Umm</w:t>
      </w:r>
    </w:p>
  </w:footnote>
  <w:footnote w:id="4">
    <w:p w14:paraId="5F8E31E4" w14:textId="77777777" w:rsidR="00E24C13" w:rsidRDefault="00E24C13">
      <w:pPr>
        <w:pStyle w:val="TeksCatatanKaki"/>
      </w:pPr>
      <w:r>
        <w:rPr>
          <w:rStyle w:val="ReferensiCatatanKaki"/>
        </w:rPr>
        <w:footnoteRef/>
      </w:r>
      <w:r>
        <w:t xml:space="preserve"> Ibnu Qudamah, Al-Mughni</w:t>
      </w:r>
    </w:p>
    <w:p w14:paraId="6D1CEAD7" w14:textId="77777777" w:rsidR="00E24C13" w:rsidRDefault="00E24C13">
      <w:pPr>
        <w:pStyle w:val="TeksCatatanKaki"/>
      </w:pPr>
    </w:p>
    <w:p w14:paraId="096A3358" w14:textId="77777777" w:rsidR="00E24C13" w:rsidRDefault="00E24C13">
      <w:pPr>
        <w:pStyle w:val="TeksCatatanKaki"/>
      </w:pPr>
    </w:p>
    <w:p w14:paraId="4A406666" w14:textId="77777777" w:rsidR="00E24C13" w:rsidRDefault="00E24C13">
      <w:pPr>
        <w:pStyle w:val="TeksCatatanKaki"/>
      </w:pPr>
    </w:p>
    <w:p w14:paraId="7E7574E0" w14:textId="77777777" w:rsidR="00E24C13" w:rsidRDefault="00E24C13">
      <w:pPr>
        <w:pStyle w:val="TeksCatatanKaki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E1E39"/>
    <w:multiLevelType w:val="hybridMultilevel"/>
    <w:tmpl w:val="D0DE4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C20BC6"/>
    <w:multiLevelType w:val="hybridMultilevel"/>
    <w:tmpl w:val="3ECEB2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325363">
    <w:abstractNumId w:val="0"/>
  </w:num>
  <w:num w:numId="2" w16cid:durableId="1356152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4"/>
    <w:rsid w:val="000420EE"/>
    <w:rsid w:val="000F2568"/>
    <w:rsid w:val="00545451"/>
    <w:rsid w:val="005E1C6A"/>
    <w:rsid w:val="005E7CC3"/>
    <w:rsid w:val="005F48C7"/>
    <w:rsid w:val="00612B54"/>
    <w:rsid w:val="0079035F"/>
    <w:rsid w:val="008023FC"/>
    <w:rsid w:val="008E6447"/>
    <w:rsid w:val="008E7043"/>
    <w:rsid w:val="00910BDA"/>
    <w:rsid w:val="00CC6FD5"/>
    <w:rsid w:val="00D96DB0"/>
    <w:rsid w:val="00DB796B"/>
    <w:rsid w:val="00E2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01BB28"/>
  <w15:chartTrackingRefBased/>
  <w15:docId w15:val="{87B32277-3A55-C24C-B922-99142C78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12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12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12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1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12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12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12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12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12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12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12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12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12B5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12B5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12B5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12B5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12B5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12B5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12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1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1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1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1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12B5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12B5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12B5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12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12B5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12B54"/>
    <w:rPr>
      <w:b/>
      <w:bCs/>
      <w:smallCaps/>
      <w:color w:val="0F4761" w:themeColor="accent1" w:themeShade="BF"/>
      <w:spacing w:val="5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rsid w:val="00CC6FD5"/>
    <w:pPr>
      <w:spacing w:after="0" w:line="240" w:lineRule="auto"/>
    </w:pPr>
    <w:rPr>
      <w:sz w:val="20"/>
      <w:szCs w:val="20"/>
    </w:rPr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rsid w:val="00CC6FD5"/>
    <w:rPr>
      <w:sz w:val="20"/>
      <w:szCs w:val="20"/>
    </w:rPr>
  </w:style>
  <w:style w:type="character" w:styleId="ReferensiCatatanKaki">
    <w:name w:val="footnote reference"/>
    <w:basedOn w:val="FontParagrafDefault"/>
    <w:uiPriority w:val="99"/>
    <w:semiHidden/>
    <w:unhideWhenUsed/>
    <w:rsid w:val="00CC6F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Pengguna Tamu</dc:creator>
  <cp:keywords/>
  <dc:description/>
  <cp:lastModifiedBy>Pengguna Tamu</cp:lastModifiedBy>
  <cp:revision>2</cp:revision>
  <dcterms:created xsi:type="dcterms:W3CDTF">2026-04-23T04:12:00Z</dcterms:created>
  <dcterms:modified xsi:type="dcterms:W3CDTF">2026-04-23T04:12:00Z</dcterms:modified>
</cp:coreProperties>
</file>