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ED2F" w14:textId="46D63E66" w:rsidR="0025287D" w:rsidRDefault="0025287D" w:rsidP="00C6123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SITI NUR NIKMATUL ZAENAB</w:t>
      </w:r>
    </w:p>
    <w:p w14:paraId="2F61747E" w14:textId="21C324C8" w:rsidR="0025287D" w:rsidRDefault="0025287D" w:rsidP="00C6123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23051132</w:t>
      </w:r>
    </w:p>
    <w:p w14:paraId="4121B04A" w14:textId="29830D07" w:rsidR="0025287D" w:rsidRDefault="0025287D" w:rsidP="00C6123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KELAS</w:t>
      </w:r>
      <w:r>
        <w:rPr>
          <w:rFonts w:ascii="Times New Roman" w:hAnsi="Times New Roman" w:cs="Times New Roman"/>
          <w:sz w:val="24"/>
          <w:szCs w:val="24"/>
        </w:rPr>
        <w:tab/>
        <w:t>: PAI 6 C</w:t>
      </w:r>
    </w:p>
    <w:p w14:paraId="0782EA0A" w14:textId="4D7A9B51" w:rsidR="0025287D" w:rsidRDefault="0025287D" w:rsidP="00C61234">
      <w:pPr>
        <w:pBdr>
          <w:bottom w:val="thinThickThinMediumGap" w:sz="18" w:space="1" w:color="auto"/>
        </w:pBdr>
        <w:spacing w:after="0" w:line="276" w:lineRule="auto"/>
        <w:jc w:val="both"/>
        <w:rPr>
          <w:rFonts w:ascii="Times New Roman" w:hAnsi="Times New Roman" w:cs="Times New Roman"/>
          <w:sz w:val="24"/>
          <w:szCs w:val="24"/>
        </w:rPr>
      </w:pPr>
      <w:r>
        <w:rPr>
          <w:rFonts w:ascii="Times New Roman" w:hAnsi="Times New Roman" w:cs="Times New Roman"/>
          <w:sz w:val="24"/>
          <w:szCs w:val="24"/>
        </w:rPr>
        <w:t>MK</w:t>
      </w:r>
      <w:r>
        <w:rPr>
          <w:rFonts w:ascii="Times New Roman" w:hAnsi="Times New Roman" w:cs="Times New Roman"/>
          <w:sz w:val="24"/>
          <w:szCs w:val="24"/>
        </w:rPr>
        <w:tab/>
      </w:r>
      <w:r>
        <w:rPr>
          <w:rFonts w:ascii="Times New Roman" w:hAnsi="Times New Roman" w:cs="Times New Roman"/>
          <w:sz w:val="24"/>
          <w:szCs w:val="24"/>
        </w:rPr>
        <w:tab/>
        <w:t>: MASAILUL FIQIYAH</w:t>
      </w:r>
    </w:p>
    <w:p w14:paraId="3EE66D61" w14:textId="77777777" w:rsidR="0025287D" w:rsidRDefault="0025287D" w:rsidP="00C61234">
      <w:pPr>
        <w:spacing w:after="0" w:line="276" w:lineRule="auto"/>
        <w:jc w:val="center"/>
        <w:rPr>
          <w:rFonts w:ascii="Times New Roman" w:hAnsi="Times New Roman" w:cs="Times New Roman"/>
          <w:b/>
          <w:bCs/>
          <w:sz w:val="24"/>
          <w:szCs w:val="24"/>
          <w:u w:val="single"/>
        </w:rPr>
      </w:pPr>
    </w:p>
    <w:p w14:paraId="5A617204" w14:textId="3295FBB7" w:rsidR="0025287D" w:rsidRPr="0025287D" w:rsidRDefault="0025287D" w:rsidP="00C61234">
      <w:pPr>
        <w:spacing w:after="0" w:line="276" w:lineRule="auto"/>
        <w:jc w:val="center"/>
        <w:rPr>
          <w:rFonts w:ascii="Times New Roman" w:hAnsi="Times New Roman" w:cs="Times New Roman"/>
          <w:b/>
          <w:bCs/>
          <w:sz w:val="24"/>
          <w:szCs w:val="24"/>
          <w:u w:val="single"/>
        </w:rPr>
      </w:pPr>
      <w:r w:rsidRPr="0025287D">
        <w:rPr>
          <w:rFonts w:ascii="Times New Roman" w:hAnsi="Times New Roman" w:cs="Times New Roman"/>
          <w:b/>
          <w:bCs/>
          <w:sz w:val="24"/>
          <w:szCs w:val="24"/>
          <w:u w:val="single"/>
        </w:rPr>
        <w:t>HUKUM MEMAKAI E-WALLET</w:t>
      </w:r>
    </w:p>
    <w:p w14:paraId="675FDC9E" w14:textId="77777777" w:rsidR="0025287D" w:rsidRPr="0025287D" w:rsidRDefault="0025287D" w:rsidP="00C61234">
      <w:pPr>
        <w:spacing w:after="0" w:line="276" w:lineRule="auto"/>
        <w:jc w:val="both"/>
        <w:rPr>
          <w:rFonts w:ascii="Times New Roman" w:hAnsi="Times New Roman" w:cs="Times New Roman"/>
          <w:sz w:val="24"/>
          <w:szCs w:val="24"/>
        </w:rPr>
      </w:pPr>
    </w:p>
    <w:p w14:paraId="639F7914" w14:textId="2285DCA1"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Masalah: Hukum memakai E-Wallet</w:t>
      </w:r>
    </w:p>
    <w:p w14:paraId="61C685AC" w14:textId="15BF39FA" w:rsid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E-Wallet adalah dompet digital yang berfungsi untuk menyimpan saldo elektronik dan digunakan sebagai alat pembayaran dalam berbagai transaksi, baik secara online maupun offline. Contohnya seperti GoPay, OVO, DANA, dan ShopeePay. Dengan E-Wallet seseorang dapat membayar makanan, transportasi, belanja, transfer uang, dan membayar tagihan dengan lebih mudah. Permasalahan fiqihnya adalah bagaimana hukum memakai E-Wallet menurut Islam, apakah boleh, tidak boleh, atau boleh dengan syarat tertentu.</w:t>
      </w:r>
    </w:p>
    <w:p w14:paraId="60036D26" w14:textId="793FB505"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Pendapat pertama: Boleh</w:t>
      </w:r>
    </w:p>
    <w:p w14:paraId="44CE24DE" w14:textId="641FFB78"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Sebagian ulama berpendapat bahwa memakai E-Wallet hukumnya boleh. Alasannya karena pada dasarnya semua bentuk muamalah hukumnya mubah atau diperbolehkan sampai ada dalil yang melarangnya. E-Wallet hanya merupakan alat pembayaran modern yang mempermudah transaksi seperti uang tunai, kartu ATM, atau transfer bank. Selama penggunaannya tidak mengandung unsur riba, penipuan, gharar (ketidakjelasan), dan digunakan untuk hal-hal yang halal, maka penggunaannya dibolehkan dalam syariat Islam.</w:t>
      </w:r>
      <w:r w:rsidR="00C61234">
        <w:rPr>
          <w:rStyle w:val="FootnoteReference"/>
          <w:rFonts w:ascii="Times New Roman" w:hAnsi="Times New Roman" w:cs="Times New Roman"/>
          <w:sz w:val="24"/>
          <w:szCs w:val="24"/>
        </w:rPr>
        <w:footnoteReference w:id="1"/>
      </w:r>
    </w:p>
    <w:p w14:paraId="4676FD00" w14:textId="48A65102"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Pendapat kedua: Tidak boleh / terlarang dalam kondisi tertentu</w:t>
      </w:r>
    </w:p>
    <w:p w14:paraId="47C7D2AE" w14:textId="39FF07A8" w:rsid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Sebagian ulama lain berpendapat bahwa penggunaan E-Wallet bisa menjadi tidak boleh apabila dalam sistemnya terdapat unsur yang dilarang syariat. Misalnya dana pengguna dimanfaatkan dengan cara ribawi, terdapat potongan biaya yang merugikan, akad antara pengguna dan perusahaan tidak jelas, atau adanya promo tertentu yang mengandung unsur haram. Jadi pendapat ini bukan menolak teknologi, tetapi menolak unsur haram yang mungkin terdapat di dalam sistem E-Wallet tersebut.</w:t>
      </w:r>
      <w:r w:rsidR="00C61234">
        <w:rPr>
          <w:rStyle w:val="FootnoteReference"/>
          <w:rFonts w:ascii="Times New Roman" w:hAnsi="Times New Roman" w:cs="Times New Roman"/>
          <w:sz w:val="24"/>
          <w:szCs w:val="24"/>
        </w:rPr>
        <w:footnoteReference w:id="2"/>
      </w:r>
    </w:p>
    <w:p w14:paraId="52C4263E" w14:textId="52A7FACA"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Dalil pendapat pertama</w:t>
      </w:r>
    </w:p>
    <w:p w14:paraId="59FCF670" w14:textId="340C293C"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Allah SWT berfirman:</w:t>
      </w:r>
    </w:p>
    <w:p w14:paraId="5887016D" w14:textId="77777777" w:rsidR="0025287D" w:rsidRPr="0025287D" w:rsidRDefault="0025287D" w:rsidP="00C61234">
      <w:pPr>
        <w:spacing w:after="0" w:line="276" w:lineRule="auto"/>
        <w:jc w:val="center"/>
        <w:rPr>
          <w:rFonts w:ascii="Times New Roman" w:hAnsi="Times New Roman" w:cs="Times New Roman"/>
          <w:sz w:val="24"/>
          <w:szCs w:val="24"/>
        </w:rPr>
      </w:pPr>
      <w:r w:rsidRPr="0025287D">
        <w:rPr>
          <w:rFonts w:ascii="Times New Roman" w:hAnsi="Times New Roman" w:cs="Times New Roman"/>
          <w:sz w:val="24"/>
          <w:szCs w:val="24"/>
        </w:rPr>
        <w:t>&gt; وَأَحَلَّ اللَّهُ الْبَيْعَ وَحَرَّمَ الرِّبَا</w:t>
      </w:r>
    </w:p>
    <w:p w14:paraId="28831A40" w14:textId="088D0182" w:rsidR="0025287D" w:rsidRDefault="0025287D" w:rsidP="00C61234">
      <w:pPr>
        <w:spacing w:after="0" w:line="276" w:lineRule="auto"/>
        <w:jc w:val="both"/>
        <w:rPr>
          <w:rFonts w:ascii="Times New Roman" w:hAnsi="Times New Roman" w:cs="Times New Roman"/>
          <w:sz w:val="24"/>
          <w:szCs w:val="24"/>
        </w:rPr>
      </w:pPr>
      <w:r w:rsidRPr="0025287D">
        <w:rPr>
          <w:rFonts w:ascii="Times New Roman" w:hAnsi="Times New Roman" w:cs="Times New Roman"/>
          <w:sz w:val="24"/>
          <w:szCs w:val="24"/>
        </w:rPr>
        <w:t>“Allah telah menghalalkan jual beli dan mengharamkan riba.” (QS. Al-Baqarah: 275)</w:t>
      </w:r>
      <w:r w:rsidR="00C61234">
        <w:rPr>
          <w:rStyle w:val="FootnoteReference"/>
          <w:rFonts w:ascii="Times New Roman" w:hAnsi="Times New Roman" w:cs="Times New Roman"/>
          <w:sz w:val="24"/>
          <w:szCs w:val="24"/>
        </w:rPr>
        <w:footnoteReference w:id="3"/>
      </w:r>
    </w:p>
    <w:p w14:paraId="3DCB6FBA" w14:textId="77777777" w:rsid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Ayat ini menunjukkan bahwa transaksi jual beli dan alat bantu pembayaran pada dasarnya halal selama tidak mengandung riba.</w:t>
      </w:r>
    </w:p>
    <w:p w14:paraId="32FFD6D9" w14:textId="4089FB53"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Kaidah fiqih:</w:t>
      </w:r>
    </w:p>
    <w:p w14:paraId="1BE1FF74" w14:textId="77777777" w:rsidR="0025287D" w:rsidRPr="0025287D" w:rsidRDefault="0025287D" w:rsidP="00C61234">
      <w:pPr>
        <w:spacing w:after="0" w:line="276" w:lineRule="auto"/>
        <w:jc w:val="center"/>
        <w:rPr>
          <w:rFonts w:ascii="Times New Roman" w:hAnsi="Times New Roman" w:cs="Times New Roman"/>
          <w:sz w:val="24"/>
          <w:szCs w:val="24"/>
        </w:rPr>
      </w:pPr>
      <w:r w:rsidRPr="0025287D">
        <w:rPr>
          <w:rFonts w:ascii="Times New Roman" w:hAnsi="Times New Roman" w:cs="Times New Roman"/>
          <w:sz w:val="24"/>
          <w:szCs w:val="24"/>
        </w:rPr>
        <w:t>&gt; الأصل في المعاملات الإباحة حتى يدل الدليل على التحريم</w:t>
      </w:r>
    </w:p>
    <w:p w14:paraId="4FEED136" w14:textId="48BCC4F8" w:rsidR="0025287D" w:rsidRDefault="0025287D" w:rsidP="00C61234">
      <w:pPr>
        <w:spacing w:after="0" w:line="276" w:lineRule="auto"/>
        <w:jc w:val="both"/>
        <w:rPr>
          <w:rFonts w:ascii="Times New Roman" w:hAnsi="Times New Roman" w:cs="Times New Roman"/>
          <w:sz w:val="24"/>
          <w:szCs w:val="24"/>
        </w:rPr>
      </w:pPr>
      <w:r w:rsidRPr="0025287D">
        <w:rPr>
          <w:rFonts w:ascii="Times New Roman" w:hAnsi="Times New Roman" w:cs="Times New Roman"/>
          <w:sz w:val="24"/>
          <w:szCs w:val="24"/>
        </w:rPr>
        <w:t>“Hukum asal dalam muamalah adalah boleh sampai ada dalil yang mengharamkan.”</w:t>
      </w:r>
      <w:r w:rsidR="00C61234">
        <w:rPr>
          <w:rStyle w:val="FootnoteReference"/>
          <w:rFonts w:ascii="Times New Roman" w:hAnsi="Times New Roman" w:cs="Times New Roman"/>
          <w:sz w:val="24"/>
          <w:szCs w:val="24"/>
        </w:rPr>
        <w:footnoteReference w:id="4"/>
      </w:r>
    </w:p>
    <w:p w14:paraId="5062B2FB" w14:textId="77777777" w:rsidR="0025287D" w:rsidRDefault="0025287D" w:rsidP="00C61234">
      <w:pPr>
        <w:spacing w:after="0" w:line="276" w:lineRule="auto"/>
        <w:jc w:val="both"/>
        <w:rPr>
          <w:rFonts w:ascii="Times New Roman" w:hAnsi="Times New Roman" w:cs="Times New Roman"/>
          <w:sz w:val="24"/>
          <w:szCs w:val="24"/>
        </w:rPr>
      </w:pPr>
    </w:p>
    <w:p w14:paraId="24F9C454" w14:textId="77777777" w:rsidR="00C61234" w:rsidRPr="0025287D" w:rsidRDefault="00C61234" w:rsidP="00C61234">
      <w:pPr>
        <w:spacing w:after="0" w:line="276" w:lineRule="auto"/>
        <w:jc w:val="both"/>
        <w:rPr>
          <w:rFonts w:ascii="Times New Roman" w:hAnsi="Times New Roman" w:cs="Times New Roman"/>
          <w:sz w:val="24"/>
          <w:szCs w:val="24"/>
        </w:rPr>
      </w:pPr>
    </w:p>
    <w:p w14:paraId="17DCE2BB" w14:textId="23756B49"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lastRenderedPageBreak/>
        <w:t>Dalil pendapat kedua</w:t>
      </w:r>
    </w:p>
    <w:p w14:paraId="6DB5D771" w14:textId="0DDCA5AC"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Allah SWT berfirman:</w:t>
      </w:r>
    </w:p>
    <w:p w14:paraId="7416F352" w14:textId="77777777" w:rsidR="0025287D" w:rsidRPr="0025287D" w:rsidRDefault="0025287D" w:rsidP="00C61234">
      <w:pPr>
        <w:spacing w:after="0" w:line="276" w:lineRule="auto"/>
        <w:jc w:val="center"/>
        <w:rPr>
          <w:rFonts w:ascii="Times New Roman" w:hAnsi="Times New Roman" w:cs="Times New Roman"/>
          <w:sz w:val="24"/>
          <w:szCs w:val="24"/>
        </w:rPr>
      </w:pPr>
      <w:r w:rsidRPr="0025287D">
        <w:rPr>
          <w:rFonts w:ascii="Times New Roman" w:hAnsi="Times New Roman" w:cs="Times New Roman"/>
          <w:sz w:val="24"/>
          <w:szCs w:val="24"/>
        </w:rPr>
        <w:t>&gt; يَا أَيُّهَا الَّذِينَ آمَنُوا لَا تَأْكُلُوا أَمْوَالَكُمْ بَيْنَكُمْ بِالْبَاطِلِ</w:t>
      </w:r>
    </w:p>
    <w:p w14:paraId="32351FF2" w14:textId="75604EDD" w:rsid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“Wahai orang-orang yang beriman, janganlah kamu memakan harta sesamamu dengan jalan yang batil.” (QS. An-Nisa: 29)</w:t>
      </w:r>
      <w:r w:rsidR="00C61234">
        <w:rPr>
          <w:rStyle w:val="FootnoteReference"/>
          <w:rFonts w:ascii="Times New Roman" w:hAnsi="Times New Roman" w:cs="Times New Roman"/>
          <w:sz w:val="24"/>
          <w:szCs w:val="24"/>
        </w:rPr>
        <w:footnoteReference w:id="5"/>
      </w:r>
    </w:p>
    <w:p w14:paraId="390E726C" w14:textId="77777777" w:rsidR="0025287D" w:rsidRPr="0025287D" w:rsidRDefault="0025287D" w:rsidP="00C61234">
      <w:pPr>
        <w:spacing w:after="0" w:line="276" w:lineRule="auto"/>
        <w:ind w:firstLine="720"/>
        <w:jc w:val="both"/>
        <w:rPr>
          <w:rFonts w:ascii="Times New Roman" w:hAnsi="Times New Roman" w:cs="Times New Roman"/>
          <w:sz w:val="24"/>
          <w:szCs w:val="24"/>
        </w:rPr>
      </w:pPr>
    </w:p>
    <w:p w14:paraId="0A66439C" w14:textId="7A485E8A"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Hadis Nabi SAW:</w:t>
      </w:r>
    </w:p>
    <w:p w14:paraId="103C6455" w14:textId="77777777" w:rsidR="0025287D" w:rsidRPr="0025287D" w:rsidRDefault="0025287D" w:rsidP="00C61234">
      <w:pPr>
        <w:spacing w:after="0" w:line="276" w:lineRule="auto"/>
        <w:jc w:val="center"/>
        <w:rPr>
          <w:rFonts w:ascii="Times New Roman" w:hAnsi="Times New Roman" w:cs="Times New Roman"/>
          <w:sz w:val="24"/>
          <w:szCs w:val="24"/>
        </w:rPr>
      </w:pPr>
      <w:r w:rsidRPr="0025287D">
        <w:rPr>
          <w:rFonts w:ascii="Times New Roman" w:hAnsi="Times New Roman" w:cs="Times New Roman"/>
          <w:sz w:val="24"/>
          <w:szCs w:val="24"/>
        </w:rPr>
        <w:t>&gt; نهى رسول الله عن بيع الغرر</w:t>
      </w:r>
    </w:p>
    <w:p w14:paraId="77E1CE3E" w14:textId="5629B429"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“Rasulullah melarang jual beli yang mengandung gharar.” (HR. Muslim)</w:t>
      </w:r>
      <w:r w:rsidR="00C61234">
        <w:rPr>
          <w:rStyle w:val="FootnoteReference"/>
          <w:rFonts w:ascii="Times New Roman" w:hAnsi="Times New Roman" w:cs="Times New Roman"/>
          <w:sz w:val="24"/>
          <w:szCs w:val="24"/>
        </w:rPr>
        <w:footnoteReference w:id="6"/>
      </w:r>
    </w:p>
    <w:p w14:paraId="5E021A7A" w14:textId="77777777"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Dalil ini dijadikan dasar bahwa transaksi yang merugikan, tidak jelas, atau menipu tidak dibolehkan.</w:t>
      </w:r>
    </w:p>
    <w:p w14:paraId="11BEB14F" w14:textId="77777777" w:rsidR="0025287D" w:rsidRPr="0025287D" w:rsidRDefault="0025287D" w:rsidP="00C61234">
      <w:pPr>
        <w:spacing w:after="0" w:line="276" w:lineRule="auto"/>
        <w:jc w:val="both"/>
        <w:rPr>
          <w:rFonts w:ascii="Times New Roman" w:hAnsi="Times New Roman" w:cs="Times New Roman"/>
          <w:sz w:val="24"/>
          <w:szCs w:val="24"/>
        </w:rPr>
      </w:pPr>
    </w:p>
    <w:p w14:paraId="5BA4E842" w14:textId="18095E6C"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Metode yang dipakai pendapat pertama</w:t>
      </w:r>
    </w:p>
    <w:p w14:paraId="17CE9593" w14:textId="1CED827D"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Metode yang digunakan adalah qiyas dan kaidah fiqih muamalah. E-Wallet diqiyaskan kepada alat pembayaran lain seperti uang tunai, cek, kartu debit, atau transfer bank, karena memiliki fungsi yang sama yaitu sebagai alat mempermudah pembayaran.</w:t>
      </w:r>
      <w:r w:rsidR="00C61234">
        <w:rPr>
          <w:rStyle w:val="FootnoteReference"/>
          <w:rFonts w:ascii="Times New Roman" w:hAnsi="Times New Roman" w:cs="Times New Roman"/>
          <w:sz w:val="24"/>
          <w:szCs w:val="24"/>
        </w:rPr>
        <w:footnoteReference w:id="7"/>
      </w:r>
    </w:p>
    <w:p w14:paraId="5FDAE591" w14:textId="21EDB075"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Metode yang dipakai pendapat kedua</w:t>
      </w:r>
    </w:p>
    <w:p w14:paraId="435FF80E" w14:textId="5EB3C32F"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Metode yang dipakai adalah sadd adz-dzari’ah, yaitu menutup jalan yang dapat membawa kepada hal yang haram. Jika E-Wallet berpotensi membawa kepada riba, penipuan, atau kerugian, maka harus dicegah.</w:t>
      </w:r>
      <w:r w:rsidR="00C61234">
        <w:rPr>
          <w:rStyle w:val="FootnoteReference"/>
          <w:rFonts w:ascii="Times New Roman" w:hAnsi="Times New Roman" w:cs="Times New Roman"/>
          <w:sz w:val="24"/>
          <w:szCs w:val="24"/>
        </w:rPr>
        <w:footnoteReference w:id="8"/>
      </w:r>
    </w:p>
    <w:p w14:paraId="1AA89981" w14:textId="20BA8042" w:rsidR="0025287D" w:rsidRPr="0025287D" w:rsidRDefault="0025287D" w:rsidP="00C61234">
      <w:pPr>
        <w:pStyle w:val="ListParagraph"/>
        <w:numPr>
          <w:ilvl w:val="0"/>
          <w:numId w:val="1"/>
        </w:numPr>
        <w:spacing w:after="0" w:line="276" w:lineRule="auto"/>
        <w:jc w:val="both"/>
        <w:rPr>
          <w:rFonts w:ascii="Times New Roman" w:hAnsi="Times New Roman" w:cs="Times New Roman"/>
          <w:sz w:val="24"/>
          <w:szCs w:val="24"/>
        </w:rPr>
      </w:pPr>
      <w:r w:rsidRPr="0025287D">
        <w:rPr>
          <w:rFonts w:ascii="Times New Roman" w:hAnsi="Times New Roman" w:cs="Times New Roman"/>
          <w:b/>
          <w:bCs/>
          <w:sz w:val="24"/>
          <w:szCs w:val="24"/>
        </w:rPr>
        <w:t>Mengapa ulama pertama memperbolehkan</w:t>
      </w:r>
      <w:r w:rsidRPr="0025287D">
        <w:rPr>
          <w:rFonts w:ascii="Times New Roman" w:hAnsi="Times New Roman" w:cs="Times New Roman"/>
          <w:sz w:val="24"/>
          <w:szCs w:val="24"/>
        </w:rPr>
        <w:t>?</w:t>
      </w:r>
    </w:p>
    <w:p w14:paraId="7413B78F" w14:textId="3153D0BF"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Karena E-Wallet memberikan banyak manfaat bagi masyarakat, seperti mempermudah pembayaran, mempercepat transaksi, mengurangi risiko membawa uang tunai, dan menyesuaikan perkembangan zaman. Islam tidak menolak teknologi selama membawa maslahat dan tidak melanggar syariat.</w:t>
      </w:r>
      <w:r w:rsidR="00C61234">
        <w:rPr>
          <w:rStyle w:val="FootnoteReference"/>
          <w:rFonts w:ascii="Times New Roman" w:hAnsi="Times New Roman" w:cs="Times New Roman"/>
          <w:sz w:val="24"/>
          <w:szCs w:val="24"/>
        </w:rPr>
        <w:footnoteReference w:id="9"/>
      </w:r>
    </w:p>
    <w:p w14:paraId="3375D825" w14:textId="06EB5A8D"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Mengapa ulama kedua melarang?</w:t>
      </w:r>
    </w:p>
    <w:p w14:paraId="7D260989" w14:textId="777BEDB9" w:rsidR="00C61234"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Karena mereka khawatir terdapat unsur yang merusak transaksi, seperti ketidakjelasan akad, saldo yang disalahgunakan, bunga terselubung, biaya berlebihan, atau pengguna menjadi boros karena terlalu mudah berbelanja.</w:t>
      </w:r>
      <w:r w:rsidR="00C61234">
        <w:rPr>
          <w:rStyle w:val="FootnoteReference"/>
          <w:rFonts w:ascii="Times New Roman" w:hAnsi="Times New Roman" w:cs="Times New Roman"/>
          <w:sz w:val="24"/>
          <w:szCs w:val="24"/>
        </w:rPr>
        <w:footnoteReference w:id="10"/>
      </w:r>
    </w:p>
    <w:p w14:paraId="14275FC7" w14:textId="03BF79F7"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Dari sisi mana pendapat pertama lemah?</w:t>
      </w:r>
    </w:p>
    <w:p w14:paraId="39290110" w14:textId="685BD734"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Kelemahan pendapat pertama adalah kadang terlalu cepat membolehkan tanpa meneliti detail sistem operasional masing-masing E-Wallet. Padahal setiap perusahaan bisa memiliki aturan yang berbeda.</w:t>
      </w:r>
      <w:r w:rsidR="00C61234">
        <w:rPr>
          <w:rStyle w:val="FootnoteReference"/>
          <w:rFonts w:ascii="Times New Roman" w:hAnsi="Times New Roman" w:cs="Times New Roman"/>
          <w:sz w:val="24"/>
          <w:szCs w:val="24"/>
        </w:rPr>
        <w:footnoteReference w:id="11"/>
      </w:r>
    </w:p>
    <w:p w14:paraId="751A89D7" w14:textId="77290F66" w:rsidR="0025287D" w:rsidRPr="0025287D" w:rsidRDefault="0025287D" w:rsidP="00C61234">
      <w:pPr>
        <w:pStyle w:val="ListParagraph"/>
        <w:numPr>
          <w:ilvl w:val="0"/>
          <w:numId w:val="1"/>
        </w:numPr>
        <w:spacing w:after="0" w:line="276" w:lineRule="auto"/>
        <w:jc w:val="both"/>
        <w:rPr>
          <w:rFonts w:ascii="Times New Roman" w:hAnsi="Times New Roman" w:cs="Times New Roman"/>
          <w:sz w:val="24"/>
          <w:szCs w:val="24"/>
        </w:rPr>
      </w:pPr>
      <w:r w:rsidRPr="0025287D">
        <w:rPr>
          <w:rFonts w:ascii="Times New Roman" w:hAnsi="Times New Roman" w:cs="Times New Roman"/>
          <w:b/>
          <w:bCs/>
          <w:sz w:val="24"/>
          <w:szCs w:val="24"/>
        </w:rPr>
        <w:t>Dari sisi mana pendapat kedua lemah</w:t>
      </w:r>
      <w:r w:rsidRPr="0025287D">
        <w:rPr>
          <w:rFonts w:ascii="Times New Roman" w:hAnsi="Times New Roman" w:cs="Times New Roman"/>
          <w:sz w:val="24"/>
          <w:szCs w:val="24"/>
        </w:rPr>
        <w:t>?</w:t>
      </w:r>
    </w:p>
    <w:p w14:paraId="1FE9FFD7" w14:textId="73A7C896" w:rsid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Kelemahan pendapat kedua adalah terlalu berhati-hati sehingga dapat menyulitkan masyarakat dan menolak kemudahan teknologi yang sebenarnya bermanfaat.</w:t>
      </w:r>
      <w:r w:rsidR="00C61234">
        <w:rPr>
          <w:rStyle w:val="FootnoteReference"/>
          <w:rFonts w:ascii="Times New Roman" w:hAnsi="Times New Roman" w:cs="Times New Roman"/>
          <w:sz w:val="24"/>
          <w:szCs w:val="24"/>
        </w:rPr>
        <w:footnoteReference w:id="12"/>
      </w:r>
    </w:p>
    <w:p w14:paraId="56ACE5C8" w14:textId="77777777" w:rsidR="0025287D" w:rsidRPr="0025287D" w:rsidRDefault="0025287D" w:rsidP="00C61234">
      <w:pPr>
        <w:spacing w:after="0" w:line="276" w:lineRule="auto"/>
        <w:ind w:firstLine="720"/>
        <w:jc w:val="both"/>
        <w:rPr>
          <w:rFonts w:ascii="Times New Roman" w:hAnsi="Times New Roman" w:cs="Times New Roman"/>
          <w:sz w:val="24"/>
          <w:szCs w:val="24"/>
        </w:rPr>
      </w:pPr>
    </w:p>
    <w:p w14:paraId="6F08A475" w14:textId="3FB70A89" w:rsidR="0025287D" w:rsidRPr="0025287D" w:rsidRDefault="0025287D" w:rsidP="00C61234">
      <w:pPr>
        <w:pStyle w:val="ListParagraph"/>
        <w:numPr>
          <w:ilvl w:val="0"/>
          <w:numId w:val="1"/>
        </w:numPr>
        <w:spacing w:after="0" w:line="276" w:lineRule="auto"/>
        <w:jc w:val="both"/>
        <w:rPr>
          <w:rFonts w:ascii="Times New Roman" w:hAnsi="Times New Roman" w:cs="Times New Roman"/>
          <w:sz w:val="24"/>
          <w:szCs w:val="24"/>
        </w:rPr>
      </w:pPr>
      <w:r w:rsidRPr="0025287D">
        <w:rPr>
          <w:rFonts w:ascii="Times New Roman" w:hAnsi="Times New Roman" w:cs="Times New Roman"/>
          <w:b/>
          <w:bCs/>
          <w:sz w:val="24"/>
          <w:szCs w:val="24"/>
        </w:rPr>
        <w:lastRenderedPageBreak/>
        <w:t>Dari sisi mana pendapat pertama kuat?</w:t>
      </w:r>
    </w:p>
    <w:p w14:paraId="749CA775" w14:textId="491CD072"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Pendapat pertama kuat karena sesuai dengan kaidah dasar muamalah, yaitu semua transaksi pada dasarnya boleh selama tidak ada unsur yang diharamkan. Pendapat ini juga relevan dengan perkembangan ekonomi modern.</w:t>
      </w:r>
      <w:r w:rsidR="00C61234">
        <w:rPr>
          <w:rStyle w:val="FootnoteReference"/>
          <w:rFonts w:ascii="Times New Roman" w:hAnsi="Times New Roman" w:cs="Times New Roman"/>
          <w:sz w:val="24"/>
          <w:szCs w:val="24"/>
        </w:rPr>
        <w:footnoteReference w:id="13"/>
      </w:r>
    </w:p>
    <w:p w14:paraId="38D124DF" w14:textId="7E52D12E" w:rsidR="0025287D" w:rsidRPr="0025287D" w:rsidRDefault="0025287D" w:rsidP="00C61234">
      <w:pPr>
        <w:pStyle w:val="ListParagraph"/>
        <w:numPr>
          <w:ilvl w:val="0"/>
          <w:numId w:val="1"/>
        </w:numPr>
        <w:spacing w:after="0" w:line="276" w:lineRule="auto"/>
        <w:jc w:val="both"/>
        <w:rPr>
          <w:rFonts w:ascii="Times New Roman" w:hAnsi="Times New Roman" w:cs="Times New Roman"/>
          <w:sz w:val="24"/>
          <w:szCs w:val="24"/>
        </w:rPr>
      </w:pPr>
      <w:r w:rsidRPr="0025287D">
        <w:rPr>
          <w:rFonts w:ascii="Times New Roman" w:hAnsi="Times New Roman" w:cs="Times New Roman"/>
          <w:b/>
          <w:bCs/>
          <w:sz w:val="24"/>
          <w:szCs w:val="24"/>
        </w:rPr>
        <w:t>Dari sisi mana pendapat kedua kuat</w:t>
      </w:r>
      <w:r w:rsidRPr="0025287D">
        <w:rPr>
          <w:rFonts w:ascii="Times New Roman" w:hAnsi="Times New Roman" w:cs="Times New Roman"/>
          <w:sz w:val="24"/>
          <w:szCs w:val="24"/>
        </w:rPr>
        <w:t>?</w:t>
      </w:r>
    </w:p>
    <w:p w14:paraId="5E1807E0" w14:textId="71758529"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Pendapat kedua kuat karena menjaga umat Islam dari kemungkinan riba, gharar, penipuan, dan eksploitasi dalam transaksi digital.</w:t>
      </w:r>
      <w:r w:rsidR="00C61234">
        <w:rPr>
          <w:rStyle w:val="FootnoteReference"/>
          <w:rFonts w:ascii="Times New Roman" w:hAnsi="Times New Roman" w:cs="Times New Roman"/>
          <w:sz w:val="24"/>
          <w:szCs w:val="24"/>
        </w:rPr>
        <w:footnoteReference w:id="14"/>
      </w:r>
    </w:p>
    <w:p w14:paraId="5AF3159C" w14:textId="21CD1B28" w:rsidR="0025287D" w:rsidRPr="0025287D" w:rsidRDefault="0025287D" w:rsidP="00C61234">
      <w:pPr>
        <w:pStyle w:val="ListParagraph"/>
        <w:numPr>
          <w:ilvl w:val="0"/>
          <w:numId w:val="1"/>
        </w:numPr>
        <w:spacing w:after="0" w:line="276" w:lineRule="auto"/>
        <w:jc w:val="both"/>
        <w:rPr>
          <w:rFonts w:ascii="Times New Roman" w:hAnsi="Times New Roman" w:cs="Times New Roman"/>
          <w:sz w:val="24"/>
          <w:szCs w:val="24"/>
        </w:rPr>
      </w:pPr>
      <w:r w:rsidRPr="0025287D">
        <w:rPr>
          <w:rFonts w:ascii="Times New Roman" w:hAnsi="Times New Roman" w:cs="Times New Roman"/>
          <w:b/>
          <w:bCs/>
          <w:sz w:val="24"/>
          <w:szCs w:val="24"/>
        </w:rPr>
        <w:t>Persamaan kedua pendapat</w:t>
      </w:r>
    </w:p>
    <w:p w14:paraId="1BCE5E7D" w14:textId="44826C0E"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Kedua pendapat sama-sama bertujuan menjaga harta umat Islam, menciptakan transaksi yang adil, aman, dan sesuai dengan prinsip syariat Islam.</w:t>
      </w:r>
      <w:r w:rsidR="00C61234">
        <w:rPr>
          <w:rStyle w:val="FootnoteReference"/>
          <w:rFonts w:ascii="Times New Roman" w:hAnsi="Times New Roman" w:cs="Times New Roman"/>
          <w:sz w:val="24"/>
          <w:szCs w:val="24"/>
        </w:rPr>
        <w:footnoteReference w:id="15"/>
      </w:r>
    </w:p>
    <w:p w14:paraId="055FF237" w14:textId="5E6C9FBF"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Ulama yang memperbolehkan</w:t>
      </w:r>
    </w:p>
    <w:p w14:paraId="0F015FB3" w14:textId="5A784028"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Beberapa ulama kontemporer dan lembaga fatwa modern memperbolehkan penggunaan uang elektronik dengan syarat, seperti Majelis Ulama Indonesia melalui fatwa DSN-MUI tentang uang elektronik syariah, serta para pakar fiqih muamalah masa kini.</w:t>
      </w:r>
      <w:r w:rsidR="00C61234">
        <w:rPr>
          <w:rStyle w:val="FootnoteReference"/>
          <w:rFonts w:ascii="Times New Roman" w:hAnsi="Times New Roman" w:cs="Times New Roman"/>
          <w:sz w:val="24"/>
          <w:szCs w:val="24"/>
        </w:rPr>
        <w:footnoteReference w:id="16"/>
      </w:r>
    </w:p>
    <w:p w14:paraId="064DE0BB" w14:textId="1343563F" w:rsidR="0025287D" w:rsidRPr="00C61234" w:rsidRDefault="0025287D" w:rsidP="00C61234">
      <w:pPr>
        <w:pStyle w:val="ListParagraph"/>
        <w:numPr>
          <w:ilvl w:val="0"/>
          <w:numId w:val="1"/>
        </w:numPr>
        <w:spacing w:after="0" w:line="276" w:lineRule="auto"/>
        <w:jc w:val="both"/>
        <w:rPr>
          <w:rFonts w:ascii="Times New Roman" w:hAnsi="Times New Roman" w:cs="Times New Roman"/>
          <w:sz w:val="24"/>
          <w:szCs w:val="24"/>
        </w:rPr>
      </w:pPr>
      <w:r w:rsidRPr="0025287D">
        <w:rPr>
          <w:rFonts w:ascii="Times New Roman" w:hAnsi="Times New Roman" w:cs="Times New Roman"/>
          <w:b/>
          <w:bCs/>
          <w:sz w:val="24"/>
          <w:szCs w:val="24"/>
        </w:rPr>
        <w:t>Ulama yang melarang</w:t>
      </w:r>
    </w:p>
    <w:p w14:paraId="185DE63D" w14:textId="52422E06"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Sebagian ulama yang lebih ketat dalam masalah riba dan gharar cenderung melarang jika sistem E-Wallet tidak jelas, tidak transparan, atau mengandung unsur yang bertentangan dengan syariat.</w:t>
      </w:r>
      <w:r w:rsidR="00C61234">
        <w:rPr>
          <w:rStyle w:val="FootnoteReference"/>
          <w:rFonts w:ascii="Times New Roman" w:hAnsi="Times New Roman" w:cs="Times New Roman"/>
          <w:sz w:val="24"/>
          <w:szCs w:val="24"/>
        </w:rPr>
        <w:footnoteReference w:id="17"/>
      </w:r>
    </w:p>
    <w:p w14:paraId="65566F3A" w14:textId="02D23FD3" w:rsidR="0025287D" w:rsidRPr="0025287D" w:rsidRDefault="0025287D" w:rsidP="00C61234">
      <w:pPr>
        <w:pStyle w:val="ListParagraph"/>
        <w:numPr>
          <w:ilvl w:val="0"/>
          <w:numId w:val="1"/>
        </w:numPr>
        <w:spacing w:after="0" w:line="276" w:lineRule="auto"/>
        <w:jc w:val="both"/>
        <w:rPr>
          <w:rFonts w:ascii="Times New Roman" w:hAnsi="Times New Roman" w:cs="Times New Roman"/>
          <w:b/>
          <w:bCs/>
          <w:sz w:val="24"/>
          <w:szCs w:val="24"/>
        </w:rPr>
      </w:pPr>
      <w:r w:rsidRPr="0025287D">
        <w:rPr>
          <w:rFonts w:ascii="Times New Roman" w:hAnsi="Times New Roman" w:cs="Times New Roman"/>
          <w:b/>
          <w:bCs/>
          <w:sz w:val="24"/>
          <w:szCs w:val="24"/>
        </w:rPr>
        <w:t>Analisis pendapat pribadi</w:t>
      </w:r>
    </w:p>
    <w:p w14:paraId="5685A2DC" w14:textId="399F1A2C" w:rsidR="0025287D" w:rsidRPr="0025287D" w:rsidRDefault="0025287D" w:rsidP="00C61234">
      <w:pPr>
        <w:spacing w:after="0" w:line="276" w:lineRule="auto"/>
        <w:ind w:firstLine="720"/>
        <w:jc w:val="both"/>
        <w:rPr>
          <w:rFonts w:ascii="Times New Roman" w:hAnsi="Times New Roman" w:cs="Times New Roman"/>
          <w:sz w:val="24"/>
          <w:szCs w:val="24"/>
        </w:rPr>
      </w:pPr>
      <w:r w:rsidRPr="0025287D">
        <w:rPr>
          <w:rFonts w:ascii="Times New Roman" w:hAnsi="Times New Roman" w:cs="Times New Roman"/>
          <w:sz w:val="24"/>
          <w:szCs w:val="24"/>
        </w:rPr>
        <w:t>Menurut saya, pendapat yang paling tepat adalah boleh dengan syarat. Karena E-Wallet hanyalah alat pembayaran modern, bukan tujuan utama transaksi. Jika digunakan untuk membeli barang halal, sistemnya jelas, tidak ada bunga, tidak ada penipuan, dan dana pengguna aman, maka hukumnya boleh. Namun jika dalam praktiknya terdapat unsur riba, penyelewengan dana, atau merugikan pengguna, maka hukumnya bisa menjadi haram. Jadi hukum E-Wallet bergantung pada sistem dan cara penggunaannya. Pendapat ini lebih seimbang karena menerima kemajuan teknologi namun tetap menjaga prinsip syariat Islam.</w:t>
      </w:r>
      <w:r w:rsidR="00C61234">
        <w:rPr>
          <w:rStyle w:val="FootnoteReference"/>
          <w:rFonts w:ascii="Times New Roman" w:hAnsi="Times New Roman" w:cs="Times New Roman"/>
          <w:sz w:val="24"/>
          <w:szCs w:val="24"/>
        </w:rPr>
        <w:footnoteReference w:id="18"/>
      </w:r>
    </w:p>
    <w:p w14:paraId="7E6458C7" w14:textId="7DE6328C" w:rsidR="00C61234" w:rsidRPr="0025287D" w:rsidRDefault="00C61234" w:rsidP="00C61234">
      <w:pPr>
        <w:spacing w:after="0" w:line="276" w:lineRule="auto"/>
        <w:jc w:val="both"/>
        <w:rPr>
          <w:rFonts w:ascii="Times New Roman" w:hAnsi="Times New Roman" w:cs="Times New Roman"/>
          <w:sz w:val="24"/>
          <w:szCs w:val="24"/>
        </w:rPr>
      </w:pPr>
    </w:p>
    <w:p w14:paraId="5C67FC96" w14:textId="4FEC80CF" w:rsidR="00BC0C81" w:rsidRPr="0025287D" w:rsidRDefault="00BC0C81" w:rsidP="00C61234">
      <w:pPr>
        <w:spacing w:after="0" w:line="276" w:lineRule="auto"/>
        <w:jc w:val="both"/>
        <w:rPr>
          <w:rFonts w:ascii="Times New Roman" w:hAnsi="Times New Roman" w:cs="Times New Roman"/>
          <w:sz w:val="24"/>
          <w:szCs w:val="24"/>
        </w:rPr>
      </w:pPr>
    </w:p>
    <w:sectPr w:rsidR="00BC0C81" w:rsidRPr="002528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274FE" w14:textId="77777777" w:rsidR="001139A3" w:rsidRDefault="001139A3" w:rsidP="00C61234">
      <w:pPr>
        <w:spacing w:after="0" w:line="240" w:lineRule="auto"/>
      </w:pPr>
      <w:r>
        <w:separator/>
      </w:r>
    </w:p>
  </w:endnote>
  <w:endnote w:type="continuationSeparator" w:id="0">
    <w:p w14:paraId="41DBF06E" w14:textId="77777777" w:rsidR="001139A3" w:rsidRDefault="001139A3" w:rsidP="00C61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0AE1" w14:textId="77777777" w:rsidR="001139A3" w:rsidRDefault="001139A3" w:rsidP="00C61234">
      <w:pPr>
        <w:spacing w:after="0" w:line="240" w:lineRule="auto"/>
      </w:pPr>
      <w:r>
        <w:separator/>
      </w:r>
    </w:p>
  </w:footnote>
  <w:footnote w:type="continuationSeparator" w:id="0">
    <w:p w14:paraId="57AEE1A7" w14:textId="77777777" w:rsidR="001139A3" w:rsidRDefault="001139A3" w:rsidP="00C61234">
      <w:pPr>
        <w:spacing w:after="0" w:line="240" w:lineRule="auto"/>
      </w:pPr>
      <w:r>
        <w:continuationSeparator/>
      </w:r>
    </w:p>
  </w:footnote>
  <w:footnote w:id="1">
    <w:p w14:paraId="269B176B" w14:textId="14AC6F93" w:rsidR="00C61234" w:rsidRPr="00C61234" w:rsidRDefault="00C61234" w:rsidP="00C61234">
      <w:pPr>
        <w:pStyle w:val="FootnoteText"/>
        <w:jc w:val="both"/>
        <w:rPr>
          <w:rFonts w:ascii="Times New Roman" w:hAnsi="Times New Roman" w:cs="Times New Roman"/>
          <w:lang w:val="id-ID"/>
        </w:rPr>
      </w:pPr>
      <w:r>
        <w:rPr>
          <w:rStyle w:val="FootnoteReference"/>
        </w:rPr>
        <w:footnoteRef/>
      </w:r>
      <w:r>
        <w:t xml:space="preserve"> </w:t>
      </w:r>
      <w:r w:rsidRPr="00C61234">
        <w:rPr>
          <w:rFonts w:ascii="Times New Roman" w:hAnsi="Times New Roman" w:cs="Times New Roman"/>
        </w:rPr>
        <w:t>Wahbah Az-Zuhaili, Al-Fiqh Al-Islami wa Adillatuhu.</w:t>
      </w:r>
    </w:p>
  </w:footnote>
  <w:footnote w:id="2">
    <w:p w14:paraId="3D0A455B" w14:textId="4E13789E" w:rsidR="00C61234" w:rsidRPr="00C61234" w:rsidRDefault="00C61234" w:rsidP="00C61234">
      <w:pPr>
        <w:pStyle w:val="FootnoteText"/>
        <w:jc w:val="both"/>
        <w:rPr>
          <w:rFonts w:ascii="Times New Roman" w:hAnsi="Times New Roman" w:cs="Times New Roman"/>
        </w:rPr>
      </w:pPr>
      <w:r w:rsidRPr="00C61234">
        <w:rPr>
          <w:rStyle w:val="FootnoteReference"/>
          <w:rFonts w:ascii="Times New Roman" w:hAnsi="Times New Roman" w:cs="Times New Roman"/>
        </w:rPr>
        <w:footnoteRef/>
      </w:r>
      <w:r w:rsidRPr="00C61234">
        <w:rPr>
          <w:rFonts w:ascii="Times New Roman" w:hAnsi="Times New Roman" w:cs="Times New Roman"/>
        </w:rPr>
        <w:t xml:space="preserve"> Y</w:t>
      </w:r>
      <w:r w:rsidRPr="00C61234">
        <w:rPr>
          <w:rFonts w:ascii="Times New Roman" w:hAnsi="Times New Roman" w:cs="Times New Roman"/>
        </w:rPr>
        <w:t>usuf Al-Qaradawi, Fiqh al-Muamalat al-Mu’ashirah.</w:t>
      </w:r>
    </w:p>
  </w:footnote>
  <w:footnote w:id="3">
    <w:p w14:paraId="247F97D8" w14:textId="482BD095"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QS. Al-Baqarah: 275.</w:t>
      </w:r>
    </w:p>
  </w:footnote>
  <w:footnote w:id="4">
    <w:p w14:paraId="0CDD44C0" w14:textId="653D20AF"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As-Suyuthi, Al-Asybah wan Nazhair.</w:t>
      </w:r>
    </w:p>
  </w:footnote>
  <w:footnote w:id="5">
    <w:p w14:paraId="0ABE68CD" w14:textId="515F8D21"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 xml:space="preserve"> QS. An-Nisa: 29.</w:t>
      </w:r>
    </w:p>
  </w:footnote>
  <w:footnote w:id="6">
    <w:p w14:paraId="18F16343" w14:textId="191804C9"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HR. Muslim No. 1513.</w:t>
      </w:r>
    </w:p>
  </w:footnote>
  <w:footnote w:id="7">
    <w:p w14:paraId="6D413970" w14:textId="1FB6D9CE"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Abdul Karim Zaidan, Al-Wajiz fi Ushul Fiqh.</w:t>
      </w:r>
    </w:p>
  </w:footnote>
  <w:footnote w:id="8">
    <w:p w14:paraId="4B781F9B" w14:textId="72E001E0"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Ibnu Qayyim, I’lamul Muwaqqi’in</w:t>
      </w:r>
    </w:p>
  </w:footnote>
  <w:footnote w:id="9">
    <w:p w14:paraId="7B915D85" w14:textId="52165FE9" w:rsidR="00C61234" w:rsidRPr="00C61234" w:rsidRDefault="00C61234" w:rsidP="00C61234">
      <w:pPr>
        <w:pStyle w:val="FootnoteText"/>
        <w:jc w:val="both"/>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Fatwa DSN-MUI tentang uang elektronik syariah.</w:t>
      </w:r>
    </w:p>
  </w:footnote>
  <w:footnote w:id="10">
    <w:p w14:paraId="2F4D7727" w14:textId="43ECD8E3" w:rsidR="00C61234" w:rsidRPr="00C61234" w:rsidRDefault="00C61234" w:rsidP="00C61234">
      <w:pPr>
        <w:pStyle w:val="FootnoteText"/>
        <w:jc w:val="both"/>
        <w:rPr>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Kajian fiqih muamalah kontemporer tentang fintech.</w:t>
      </w:r>
    </w:p>
  </w:footnote>
  <w:footnote w:id="11">
    <w:p w14:paraId="6FE88F62" w14:textId="6018210E" w:rsidR="00C61234" w:rsidRPr="00C61234" w:rsidRDefault="00C61234">
      <w:pPr>
        <w:pStyle w:val="FootnoteText"/>
        <w:rPr>
          <w:lang w:val="id-ID"/>
        </w:rPr>
      </w:pPr>
      <w:r>
        <w:rPr>
          <w:rStyle w:val="FootnoteReference"/>
        </w:rPr>
        <w:footnoteRef/>
      </w:r>
      <w:r>
        <w:t xml:space="preserve"> </w:t>
      </w:r>
      <w:r w:rsidRPr="00C61234">
        <w:t>Analisis ushul fiqih muamalah modern.</w:t>
      </w:r>
    </w:p>
  </w:footnote>
  <w:footnote w:id="12">
    <w:p w14:paraId="06C70926" w14:textId="4C0C6312" w:rsidR="00C61234" w:rsidRPr="00C61234" w:rsidRDefault="00C61234">
      <w:pPr>
        <w:pStyle w:val="FootnoteText"/>
        <w:rPr>
          <w:lang w:val="id-ID"/>
        </w:rPr>
      </w:pPr>
      <w:r>
        <w:rPr>
          <w:rStyle w:val="FootnoteReference"/>
        </w:rPr>
        <w:footnoteRef/>
      </w:r>
      <w:r>
        <w:t xml:space="preserve"> </w:t>
      </w:r>
      <w:r w:rsidRPr="00C61234">
        <w:t xml:space="preserve"> Kaidah رفع الحرج dalam syariat Islam.</w:t>
      </w:r>
    </w:p>
  </w:footnote>
  <w:footnote w:id="13">
    <w:p w14:paraId="224101F1" w14:textId="32DDCD9C" w:rsidR="00C61234" w:rsidRPr="00C61234" w:rsidRDefault="00C61234">
      <w:pPr>
        <w:pStyle w:val="FootnoteText"/>
        <w:rPr>
          <w:rFonts w:ascii="Times New Roman" w:hAnsi="Times New Roman" w:cs="Times New Roman"/>
          <w:b/>
          <w:bCs/>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Kaidah الأصل في المعاملات الإباحة.</w:t>
      </w:r>
    </w:p>
  </w:footnote>
  <w:footnote w:id="14">
    <w:p w14:paraId="0B41925B" w14:textId="6787F81E" w:rsidR="00C61234" w:rsidRPr="00C61234" w:rsidRDefault="00C61234">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Kaidah سد الذرائع</w:t>
      </w:r>
    </w:p>
  </w:footnote>
  <w:footnote w:id="15">
    <w:p w14:paraId="4BD4CD69" w14:textId="33D0AF38" w:rsidR="00C61234" w:rsidRPr="00C61234" w:rsidRDefault="00C61234">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Maqashid syariah dalam menjaga harta.</w:t>
      </w:r>
    </w:p>
  </w:footnote>
  <w:footnote w:id="16">
    <w:p w14:paraId="5D1435CC" w14:textId="02C2E639" w:rsidR="00C61234" w:rsidRPr="00C61234" w:rsidRDefault="00C61234">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Fatwa DSN-MUI No. 116/DSN-MUI/IX/2017.</w:t>
      </w:r>
    </w:p>
  </w:footnote>
  <w:footnote w:id="17">
    <w:p w14:paraId="6C00BAE2" w14:textId="51CE99DB" w:rsidR="00C61234" w:rsidRPr="00C61234" w:rsidRDefault="00C61234">
      <w:pPr>
        <w:pStyle w:val="FootnoteText"/>
        <w:rPr>
          <w:rFonts w:ascii="Times New Roman" w:hAnsi="Times New Roman" w:cs="Times New Roman"/>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Pendapat sebagian ulama ihtiyath (kehati-hatian).</w:t>
      </w:r>
    </w:p>
  </w:footnote>
  <w:footnote w:id="18">
    <w:p w14:paraId="27BBCA59" w14:textId="27874911" w:rsidR="00C61234" w:rsidRPr="00C61234" w:rsidRDefault="00C61234">
      <w:pPr>
        <w:pStyle w:val="FootnoteText"/>
        <w:rPr>
          <w:lang w:val="id-ID"/>
        </w:rPr>
      </w:pPr>
      <w:r w:rsidRPr="00C61234">
        <w:rPr>
          <w:rStyle w:val="FootnoteReference"/>
          <w:rFonts w:ascii="Times New Roman" w:hAnsi="Times New Roman" w:cs="Times New Roman"/>
        </w:rPr>
        <w:footnoteRef/>
      </w:r>
      <w:r w:rsidRPr="00C61234">
        <w:rPr>
          <w:rFonts w:ascii="Times New Roman" w:hAnsi="Times New Roman" w:cs="Times New Roman"/>
        </w:rPr>
        <w:t xml:space="preserve"> </w:t>
      </w:r>
      <w:r w:rsidRPr="00C61234">
        <w:rPr>
          <w:rFonts w:ascii="Times New Roman" w:hAnsi="Times New Roman" w:cs="Times New Roman"/>
        </w:rPr>
        <w:t>Kesimpulan berdasarkan gabungan dalil dan kaidah fiqih.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6783E"/>
    <w:multiLevelType w:val="hybridMultilevel"/>
    <w:tmpl w:val="029A2284"/>
    <w:lvl w:ilvl="0" w:tplc="62FE18C4">
      <w:start w:val="1"/>
      <w:numFmt w:val="decimal"/>
      <w:lvlText w:val="%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38683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7D"/>
    <w:rsid w:val="001139A3"/>
    <w:rsid w:val="0025287D"/>
    <w:rsid w:val="003A6243"/>
    <w:rsid w:val="00BC0C81"/>
    <w:rsid w:val="00C61234"/>
    <w:rsid w:val="00FF20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1BF9"/>
  <w15:chartTrackingRefBased/>
  <w15:docId w15:val="{1D4CF6BC-CDB3-4F6C-985C-6DF41C0D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7D"/>
    <w:rPr>
      <w:rFonts w:eastAsiaTheme="majorEastAsia" w:cstheme="majorBidi"/>
      <w:color w:val="272727" w:themeColor="text1" w:themeTint="D8"/>
    </w:rPr>
  </w:style>
  <w:style w:type="paragraph" w:styleId="Title">
    <w:name w:val="Title"/>
    <w:basedOn w:val="Normal"/>
    <w:next w:val="Normal"/>
    <w:link w:val="TitleChar"/>
    <w:uiPriority w:val="10"/>
    <w:qFormat/>
    <w:rsid w:val="00252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7D"/>
    <w:pPr>
      <w:spacing w:before="160"/>
      <w:jc w:val="center"/>
    </w:pPr>
    <w:rPr>
      <w:i/>
      <w:iCs/>
      <w:color w:val="404040" w:themeColor="text1" w:themeTint="BF"/>
    </w:rPr>
  </w:style>
  <w:style w:type="character" w:customStyle="1" w:styleId="QuoteChar">
    <w:name w:val="Quote Char"/>
    <w:basedOn w:val="DefaultParagraphFont"/>
    <w:link w:val="Quote"/>
    <w:uiPriority w:val="29"/>
    <w:rsid w:val="0025287D"/>
    <w:rPr>
      <w:i/>
      <w:iCs/>
      <w:color w:val="404040" w:themeColor="text1" w:themeTint="BF"/>
    </w:rPr>
  </w:style>
  <w:style w:type="paragraph" w:styleId="ListParagraph">
    <w:name w:val="List Paragraph"/>
    <w:basedOn w:val="Normal"/>
    <w:uiPriority w:val="34"/>
    <w:qFormat/>
    <w:rsid w:val="0025287D"/>
    <w:pPr>
      <w:ind w:left="720"/>
      <w:contextualSpacing/>
    </w:pPr>
  </w:style>
  <w:style w:type="character" w:styleId="IntenseEmphasis">
    <w:name w:val="Intense Emphasis"/>
    <w:basedOn w:val="DefaultParagraphFont"/>
    <w:uiPriority w:val="21"/>
    <w:qFormat/>
    <w:rsid w:val="0025287D"/>
    <w:rPr>
      <w:i/>
      <w:iCs/>
      <w:color w:val="2F5496" w:themeColor="accent1" w:themeShade="BF"/>
    </w:rPr>
  </w:style>
  <w:style w:type="paragraph" w:styleId="IntenseQuote">
    <w:name w:val="Intense Quote"/>
    <w:basedOn w:val="Normal"/>
    <w:next w:val="Normal"/>
    <w:link w:val="IntenseQuoteChar"/>
    <w:uiPriority w:val="30"/>
    <w:qFormat/>
    <w:rsid w:val="00252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87D"/>
    <w:rPr>
      <w:i/>
      <w:iCs/>
      <w:color w:val="2F5496" w:themeColor="accent1" w:themeShade="BF"/>
    </w:rPr>
  </w:style>
  <w:style w:type="character" w:styleId="IntenseReference">
    <w:name w:val="Intense Reference"/>
    <w:basedOn w:val="DefaultParagraphFont"/>
    <w:uiPriority w:val="32"/>
    <w:qFormat/>
    <w:rsid w:val="0025287D"/>
    <w:rPr>
      <w:b/>
      <w:bCs/>
      <w:smallCaps/>
      <w:color w:val="2F5496" w:themeColor="accent1" w:themeShade="BF"/>
      <w:spacing w:val="5"/>
    </w:rPr>
  </w:style>
  <w:style w:type="paragraph" w:styleId="FootnoteText">
    <w:name w:val="footnote text"/>
    <w:basedOn w:val="Normal"/>
    <w:link w:val="FootnoteTextChar"/>
    <w:uiPriority w:val="99"/>
    <w:semiHidden/>
    <w:unhideWhenUsed/>
    <w:rsid w:val="00C612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1234"/>
    <w:rPr>
      <w:sz w:val="20"/>
      <w:szCs w:val="20"/>
    </w:rPr>
  </w:style>
  <w:style w:type="character" w:styleId="FootnoteReference">
    <w:name w:val="footnote reference"/>
    <w:basedOn w:val="DefaultParagraphFont"/>
    <w:uiPriority w:val="99"/>
    <w:semiHidden/>
    <w:unhideWhenUsed/>
    <w:rsid w:val="00C612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A153A-C921-4441-903C-F3F6B8098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Nikma Jaenab</dc:creator>
  <cp:keywords/>
  <dc:description/>
  <cp:lastModifiedBy>Nikma Jaenab</cp:lastModifiedBy>
  <cp:revision>1</cp:revision>
  <dcterms:created xsi:type="dcterms:W3CDTF">2026-04-22T12:14:00Z</dcterms:created>
  <dcterms:modified xsi:type="dcterms:W3CDTF">2026-04-22T12:34:00Z</dcterms:modified>
</cp:coreProperties>
</file>