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F8F8D" w14:textId="5066FE30" w:rsidR="005972FF" w:rsidRPr="005972FF" w:rsidRDefault="005972FF" w:rsidP="005972FF">
      <w:pPr>
        <w:rPr>
          <w:rFonts w:ascii="Times New Roman" w:hAnsi="Times New Roman" w:cs="Times New Roman"/>
        </w:rPr>
      </w:pPr>
    </w:p>
    <w:p w14:paraId="7F54A25E" w14:textId="1F4B15DA" w:rsidR="004945A9" w:rsidRPr="004945A9" w:rsidRDefault="005972FF" w:rsidP="00416A3B">
      <w:pPr>
        <w:pStyle w:val="ListParagraph"/>
        <w:numPr>
          <w:ilvl w:val="0"/>
          <w:numId w:val="2"/>
        </w:numPr>
        <w:jc w:val="both"/>
        <w:rPr>
          <w:rFonts w:ascii="Times New Roman" w:hAnsi="Times New Roman" w:cs="Times New Roman"/>
        </w:rPr>
      </w:pPr>
      <w:r w:rsidRPr="004945A9">
        <w:rPr>
          <w:rFonts w:ascii="Times New Roman" w:hAnsi="Times New Roman" w:cs="Times New Roman"/>
        </w:rPr>
        <w:t xml:space="preserve">Masalah : </w:t>
      </w:r>
      <w:r w:rsidR="00416A3B">
        <w:rPr>
          <w:rFonts w:ascii="Times New Roman" w:hAnsi="Times New Roman" w:cs="Times New Roman"/>
        </w:rPr>
        <w:t xml:space="preserve">hukum menyentuh lawan jenis </w:t>
      </w:r>
    </w:p>
    <w:p w14:paraId="5A22D52F" w14:textId="77F297DA" w:rsidR="005972FF" w:rsidRPr="004945A9" w:rsidRDefault="005972FF" w:rsidP="00416A3B">
      <w:pPr>
        <w:pStyle w:val="ListParagraph"/>
        <w:jc w:val="both"/>
        <w:rPr>
          <w:rFonts w:ascii="Times New Roman" w:hAnsi="Times New Roman" w:cs="Times New Roman"/>
        </w:rPr>
      </w:pPr>
      <w:r w:rsidRPr="004945A9">
        <w:rPr>
          <w:rFonts w:ascii="Times New Roman" w:hAnsi="Times New Roman" w:cs="Times New Roman"/>
        </w:rPr>
        <w:t>Hukum menyentuh lawan jenis apakah membatalkan wudlu?</w:t>
      </w:r>
      <w:r w:rsidR="004945A9" w:rsidRPr="004945A9">
        <w:t xml:space="preserve"> </w:t>
      </w:r>
      <w:r w:rsidR="004945A9" w:rsidRPr="004945A9">
        <w:rPr>
          <w:rFonts w:ascii="Times New Roman" w:hAnsi="Times New Roman" w:cs="Times New Roman"/>
        </w:rPr>
        <w:t>Permasalahan fiqih ini membahas: apakah menyentuh lawan jenis (yang bukan mahram) membatalkan wudhu atau tidak. Masalah ini termasuk dalam bab thaharah (bersuci) dan menjadi perbedaan pendapat (ikhtilaf) di kalangan ulama sejak masa sahabat. Perbedaan ini muncul karena adanya perbedaan dalam memahami dalil Al-Qur’an dan hadis, khususnya pada kata “menyentuh perempuan” dalam Al-Qur’an.</w:t>
      </w:r>
      <w:r w:rsidR="00EB22E6">
        <w:rPr>
          <w:rFonts w:ascii="Times New Roman" w:hAnsi="Times New Roman" w:cs="Times New Roman"/>
        </w:rPr>
        <w:fldChar w:fldCharType="begin" w:fldLock="1"/>
      </w:r>
      <w:r w:rsidR="0078656C">
        <w:rPr>
          <w:rFonts w:ascii="Times New Roman" w:hAnsi="Times New Roman" w:cs="Times New Roman"/>
        </w:rPr>
        <w:instrText>ADDIN CSL_CITATION {"citationItems":[{"id":"ITEM-1","itemData":{"author":[{"dropping-particle":"","family":"Abdul Karim Zaidan","given":"Al-Wajiz fi Ushul al-Fiqh.","non-dropping-particle":"","parse-names":false,"suffix":""}],"id":"ITEM-1","issued":{"date-parts":[["0"]]},"title":"No Tit","type":"article-journal"},"uris":["http://www.mendeley.com/documents/?uuid=70d33ce3-7d85-4cb4-8fb5-fc9f5c3f50d2"]}],"mendeley":{"formattedCitation":"(Abdul Karim Zaidan, n.d.)","plainTextFormattedCitation":"(Abdul Karim Zaidan, n.d.)","previouslyFormattedCitation":"(Abdul Karim Zaidan, n.d.)"},"properties":{"noteIndex":0},"schema":"https://github.com/citation-style-language/schema/raw/master/csl-citation.json"}</w:instrText>
      </w:r>
      <w:r w:rsidR="00EB22E6">
        <w:rPr>
          <w:rFonts w:ascii="Times New Roman" w:hAnsi="Times New Roman" w:cs="Times New Roman"/>
        </w:rPr>
        <w:fldChar w:fldCharType="separate"/>
      </w:r>
      <w:r w:rsidR="00EB22E6" w:rsidRPr="00EB22E6">
        <w:rPr>
          <w:rFonts w:ascii="Times New Roman" w:hAnsi="Times New Roman" w:cs="Times New Roman"/>
          <w:noProof/>
        </w:rPr>
        <w:t>(Abdul Karim Zaidan, n.d.)</w:t>
      </w:r>
      <w:r w:rsidR="00EB22E6">
        <w:rPr>
          <w:rFonts w:ascii="Times New Roman" w:hAnsi="Times New Roman" w:cs="Times New Roman"/>
        </w:rPr>
        <w:fldChar w:fldCharType="end"/>
      </w:r>
    </w:p>
    <w:p w14:paraId="59C3B9F8" w14:textId="44C25029" w:rsidR="004945A9" w:rsidRDefault="005972FF" w:rsidP="00416A3B">
      <w:pPr>
        <w:pStyle w:val="ListParagraph"/>
        <w:numPr>
          <w:ilvl w:val="0"/>
          <w:numId w:val="2"/>
        </w:numPr>
        <w:jc w:val="both"/>
      </w:pPr>
      <w:r w:rsidRPr="004945A9">
        <w:rPr>
          <w:rFonts w:ascii="Times New Roman" w:hAnsi="Times New Roman" w:cs="Times New Roman"/>
        </w:rPr>
        <w:t>Pendapat pertama, jelaskan!</w:t>
      </w:r>
    </w:p>
    <w:p w14:paraId="0559586D" w14:textId="4C6A5B47" w:rsidR="005972FF" w:rsidRPr="005972FF" w:rsidRDefault="004945A9" w:rsidP="00416A3B">
      <w:pPr>
        <w:pStyle w:val="ListParagraph"/>
        <w:jc w:val="both"/>
        <w:rPr>
          <w:rFonts w:ascii="Times New Roman" w:hAnsi="Times New Roman" w:cs="Times New Roman"/>
        </w:rPr>
      </w:pPr>
      <w:r w:rsidRPr="004945A9">
        <w:rPr>
          <w:rFonts w:ascii="Times New Roman" w:hAnsi="Times New Roman" w:cs="Times New Roman"/>
        </w:rPr>
        <w:t>Pendapat pertama menyatakan bahwa menyentuh lawan jenis membatalkan wudhu secara mutlak, baik dengan syahwat maupun tidak, selama terjadi sentuhan kulit tanpa penghalang.Pendapat ini dianut oleh mazhab Syafi’i. Mereka berpendapat bahwa setiap bentuk sentuhan antara laki-laki dan perempuan ajnabi (bukan mahram) termasuk pembatal wudhu. Bahkan sebagian ulama Syafi’iyyah menegaskan bahwa sentuhan tanpa sengaja pun tetap membatalkan.</w:t>
      </w:r>
      <w:r w:rsidR="0078656C">
        <w:rPr>
          <w:rFonts w:ascii="Times New Roman" w:hAnsi="Times New Roman" w:cs="Times New Roman"/>
        </w:rPr>
        <w:fldChar w:fldCharType="begin" w:fldLock="1"/>
      </w:r>
      <w:r w:rsidR="0078656C">
        <w:rPr>
          <w:rFonts w:ascii="Times New Roman" w:hAnsi="Times New Roman" w:cs="Times New Roman"/>
        </w:rPr>
        <w:instrText>ADDIN CSL_CITATION {"citationItems":[{"id":"ITEM-1","itemData":{"DOI":"10.36701/qiblah.v4i3.2129","author":[{"dropping-particle":"","family":"Saat","given":"Kesucian","non-dropping-particle":"","parse-names":false,"suffix":""},{"dropping-particle":"","family":"Perspektif","given":"Tawaf","non-dropping-particle":"","parse-names":false,"suffix":""},{"dropping-particle":"","family":"Ibadah","given":"Fikih","non-dropping-particle":"","parse-names":false,"suffix":""}],"id":"ITEM-1","issue":"3","issued":{"date-parts":[["2025"]]},"page":"320-342","title":"AL-QIBLAH : Bersentuhan dengan Lawan Jenis sebagai Pembatal","type":"article-journal","volume":"4"},"uris":["http://www.mendeley.com/documents/?uuid=60bc75d9-e18f-46b4-972c-8e968117ad3b"]}],"mendeley":{"formattedCitation":"(Saat et al., 2025)","plainTextFormattedCitation":"(Saat et al., 2025)","previouslyFormattedCitation":"(Saat et al., 2025)"},"properties":{"noteIndex":0},"schema":"https://github.com/citation-style-language/schema/raw/master/csl-citation.json"}</w:instrText>
      </w:r>
      <w:r w:rsidR="0078656C">
        <w:rPr>
          <w:rFonts w:ascii="Times New Roman" w:hAnsi="Times New Roman" w:cs="Times New Roman"/>
        </w:rPr>
        <w:fldChar w:fldCharType="separate"/>
      </w:r>
      <w:r w:rsidR="0078656C" w:rsidRPr="0078656C">
        <w:rPr>
          <w:rFonts w:ascii="Times New Roman" w:hAnsi="Times New Roman" w:cs="Times New Roman"/>
          <w:noProof/>
        </w:rPr>
        <w:t>(Saat et al., 2025)</w:t>
      </w:r>
      <w:r w:rsidR="0078656C">
        <w:rPr>
          <w:rFonts w:ascii="Times New Roman" w:hAnsi="Times New Roman" w:cs="Times New Roman"/>
        </w:rPr>
        <w:fldChar w:fldCharType="end"/>
      </w:r>
    </w:p>
    <w:p w14:paraId="4DD50E7E" w14:textId="0199D151" w:rsidR="004945A9" w:rsidRDefault="005972FF" w:rsidP="00416A3B">
      <w:pPr>
        <w:pStyle w:val="ListParagraph"/>
        <w:numPr>
          <w:ilvl w:val="0"/>
          <w:numId w:val="2"/>
        </w:numPr>
        <w:jc w:val="both"/>
      </w:pPr>
      <w:r w:rsidRPr="004945A9">
        <w:rPr>
          <w:rFonts w:ascii="Times New Roman" w:hAnsi="Times New Roman" w:cs="Times New Roman"/>
        </w:rPr>
        <w:t>Pendapat ke dua, jelaskan!</w:t>
      </w:r>
    </w:p>
    <w:p w14:paraId="4FA1F3BC" w14:textId="33F5AA97" w:rsidR="005972FF" w:rsidRPr="005972FF" w:rsidRDefault="004945A9" w:rsidP="00416A3B">
      <w:pPr>
        <w:pStyle w:val="ListParagraph"/>
        <w:jc w:val="both"/>
        <w:rPr>
          <w:rFonts w:ascii="Times New Roman" w:hAnsi="Times New Roman" w:cs="Times New Roman"/>
        </w:rPr>
      </w:pPr>
      <w:r w:rsidRPr="004945A9">
        <w:rPr>
          <w:rFonts w:ascii="Times New Roman" w:hAnsi="Times New Roman" w:cs="Times New Roman"/>
        </w:rPr>
        <w:t xml:space="preserve">Pendapat kedua menyatakan bahwa menyentuh lawan jenis tidak membatalkan wudhu, kecuali jika disertai hal lain seperti keluarnya mani atau madzi.Pendapat ini dianut oleh </w:t>
      </w:r>
      <w:r>
        <w:rPr>
          <w:rFonts w:ascii="Times New Roman" w:hAnsi="Times New Roman" w:cs="Times New Roman"/>
        </w:rPr>
        <w:t>madzhab hanafi</w:t>
      </w:r>
      <w:r w:rsidRPr="004945A9">
        <w:rPr>
          <w:rFonts w:ascii="Times New Roman" w:hAnsi="Times New Roman" w:cs="Times New Roman"/>
        </w:rPr>
        <w:t xml:space="preserve"> Mereka beranggapan bahwa sentuhan biasa tidak memengaruhi kesucian wudhu, karena tidak ada dalil yang tegas menunjukkan pembatalannya.</w:t>
      </w:r>
      <w:r w:rsidR="0078656C">
        <w:rPr>
          <w:rFonts w:ascii="Times New Roman" w:hAnsi="Times New Roman" w:cs="Times New Roman"/>
        </w:rPr>
        <w:fldChar w:fldCharType="begin" w:fldLock="1"/>
      </w:r>
      <w:r w:rsidR="0078656C">
        <w:rPr>
          <w:rFonts w:ascii="Times New Roman" w:hAnsi="Times New Roman" w:cs="Times New Roman"/>
        </w:rPr>
        <w:instrText>ADDIN CSL_CITATION {"citationItems":[{"id":"ITEM-1","itemData":{"DOI":"10.36701/qiblah.v4i3.2129","author":[{"dropping-particle":"","family":"Saat","given":"Kesucian","non-dropping-particle":"","parse-names":false,"suffix":""},{"dropping-particle":"","family":"Perspektif","given":"Tawaf","non-dropping-particle":"","parse-names":false,"suffix":""},{"dropping-particle":"","family":"Ibadah","given":"Fikih","non-dropping-particle":"","parse-names":false,"suffix":""}],"id":"ITEM-1","issue":"3","issued":{"date-parts":[["2025"]]},"page":"320-342","title":"AL-QIBLAH : Bersentuhan dengan Lawan Jenis sebagai Pembatal","type":"article-journal","volume":"4"},"uris":["http://www.mendeley.com/documents/?uuid=60bc75d9-e18f-46b4-972c-8e968117ad3b"]}],"mendeley":{"formattedCitation":"(Saat et al., 2025)","plainTextFormattedCitation":"(Saat et al., 2025)","previouslyFormattedCitation":"(Saat et al., 2025)"},"properties":{"noteIndex":0},"schema":"https://github.com/citation-style-language/schema/raw/master/csl-citation.json"}</w:instrText>
      </w:r>
      <w:r w:rsidR="0078656C">
        <w:rPr>
          <w:rFonts w:ascii="Times New Roman" w:hAnsi="Times New Roman" w:cs="Times New Roman"/>
        </w:rPr>
        <w:fldChar w:fldCharType="separate"/>
      </w:r>
      <w:r w:rsidR="0078656C" w:rsidRPr="0078656C">
        <w:rPr>
          <w:rFonts w:ascii="Times New Roman" w:hAnsi="Times New Roman" w:cs="Times New Roman"/>
          <w:noProof/>
        </w:rPr>
        <w:t>(Saat et al., 2025)</w:t>
      </w:r>
      <w:r w:rsidR="0078656C">
        <w:rPr>
          <w:rFonts w:ascii="Times New Roman" w:hAnsi="Times New Roman" w:cs="Times New Roman"/>
        </w:rPr>
        <w:fldChar w:fldCharType="end"/>
      </w:r>
    </w:p>
    <w:p w14:paraId="13105E99" w14:textId="010F215B" w:rsidR="005972FF" w:rsidRPr="005C1E79" w:rsidRDefault="005972FF" w:rsidP="00416A3B">
      <w:pPr>
        <w:pStyle w:val="ListParagraph"/>
        <w:numPr>
          <w:ilvl w:val="0"/>
          <w:numId w:val="2"/>
        </w:numPr>
        <w:jc w:val="both"/>
        <w:rPr>
          <w:rFonts w:ascii="Times New Roman" w:hAnsi="Times New Roman" w:cs="Times New Roman"/>
        </w:rPr>
      </w:pPr>
      <w:r w:rsidRPr="005C1E79">
        <w:rPr>
          <w:rFonts w:ascii="Times New Roman" w:hAnsi="Times New Roman" w:cs="Times New Roman"/>
        </w:rPr>
        <w:t>Sebutkan Dalil yang dijadikan sandaran pendapat pertama!</w:t>
      </w:r>
    </w:p>
    <w:p w14:paraId="34461E8F" w14:textId="160B37AA" w:rsidR="005C1E79" w:rsidRDefault="005C1E79" w:rsidP="00416A3B">
      <w:pPr>
        <w:pStyle w:val="ListParagraph"/>
        <w:jc w:val="both"/>
        <w:rPr>
          <w:rFonts w:ascii="Times New Roman" w:hAnsi="Times New Roman" w:cs="Times New Roman"/>
        </w:rPr>
      </w:pPr>
      <w:r w:rsidRPr="005C1E79">
        <w:rPr>
          <w:rFonts w:ascii="Times New Roman" w:hAnsi="Times New Roman" w:cs="Times New Roman"/>
        </w:rPr>
        <w:t>اَوْ لٰمَسْتُمُ النِّسَاۤءَ فَلَمْ تَجِدُوْا مَاۤءً </w:t>
      </w:r>
    </w:p>
    <w:p w14:paraId="321FACFA" w14:textId="589F55EC" w:rsidR="005C1E79" w:rsidRPr="005C1E79" w:rsidRDefault="005C1E79" w:rsidP="00416A3B">
      <w:pPr>
        <w:pStyle w:val="ListParagraph"/>
        <w:jc w:val="both"/>
        <w:rPr>
          <w:rFonts w:ascii="Times New Roman" w:hAnsi="Times New Roman" w:cs="Times New Roman"/>
        </w:rPr>
      </w:pPr>
      <w:r w:rsidRPr="005C1E79">
        <w:rPr>
          <w:rFonts w:ascii="Times New Roman" w:hAnsi="Times New Roman" w:cs="Times New Roman"/>
        </w:rPr>
        <w:t>Terjemahnya: …atau kamu telah menyentuh perempuan, sedangkan kamu tidak mendapati air.Wudu seseorang akan batal saat dia menyentuh lawan jenisnya dengan syahwat dan dalam keadaan yang sehat. Kecuali menyentuh bagian-bagian tubuh wanita lain seperti rambut, gigi, dan kuku, jika bagian tersebut disentuh maka tidak membatalkan wudu walaupun disentuh dengan syahwat. Imam Syafii juga berpandangan bahwa jika menyentuh orang-orang yang termasuk mahram atau yang diharamkan untuk dinikahi menyebabkan wudu batal.</w:t>
      </w:r>
      <w:r w:rsidR="0078656C">
        <w:rPr>
          <w:rFonts w:ascii="Times New Roman" w:hAnsi="Times New Roman" w:cs="Times New Roman"/>
        </w:rPr>
        <w:fldChar w:fldCharType="begin" w:fldLock="1"/>
      </w:r>
      <w:r w:rsidR="00397F70">
        <w:rPr>
          <w:rFonts w:ascii="Times New Roman" w:hAnsi="Times New Roman" w:cs="Times New Roman"/>
        </w:rPr>
        <w:instrText>ADDIN CSL_CITATION {"citationItems":[{"id":"ITEM-1","itemData":{"id":"ITEM-1","issued":{"date-parts":[["0"]]},"title":"Al-Qur’an, QS. An-Nisa: 43.","type":"article-journal"},"uris":["http://www.mendeley.com/documents/?uuid=ccb6aeb7-371b-479c-891b-d096ab086d47"]}],"mendeley":{"formattedCitation":"(&lt;i&gt;Al-Qur’an, QS. An-Nisa: 43.&lt;/i&gt;, n.d.)","plainTextFormattedCitation":"(Al-Qur’an, QS. An-Nisa: 43., n.d.)","previouslyFormattedCitation":"(&lt;i&gt;Al-Qur’an, QS. An-Nisa: 43.&lt;/i&gt;, n.d.)"},"properties":{"noteIndex":0},"schema":"https://github.com/citation-style-language/schema/raw/master/csl-citation.json"}</w:instrText>
      </w:r>
      <w:r w:rsidR="0078656C">
        <w:rPr>
          <w:rFonts w:ascii="Times New Roman" w:hAnsi="Times New Roman" w:cs="Times New Roman"/>
        </w:rPr>
        <w:fldChar w:fldCharType="separate"/>
      </w:r>
      <w:r w:rsidR="0078656C" w:rsidRPr="0078656C">
        <w:rPr>
          <w:rFonts w:ascii="Times New Roman" w:hAnsi="Times New Roman" w:cs="Times New Roman"/>
          <w:noProof/>
        </w:rPr>
        <w:t>(</w:t>
      </w:r>
      <w:r w:rsidR="0078656C" w:rsidRPr="0078656C">
        <w:rPr>
          <w:rFonts w:ascii="Times New Roman" w:hAnsi="Times New Roman" w:cs="Times New Roman"/>
          <w:i/>
          <w:noProof/>
        </w:rPr>
        <w:t>Al-Qur’an, QS. An-Nisa: 43.</w:t>
      </w:r>
      <w:r w:rsidR="0078656C" w:rsidRPr="0078656C">
        <w:rPr>
          <w:rFonts w:ascii="Times New Roman" w:hAnsi="Times New Roman" w:cs="Times New Roman"/>
          <w:noProof/>
        </w:rPr>
        <w:t>, n.d.)</w:t>
      </w:r>
      <w:r w:rsidR="0078656C">
        <w:rPr>
          <w:rFonts w:ascii="Times New Roman" w:hAnsi="Times New Roman" w:cs="Times New Roman"/>
        </w:rPr>
        <w:fldChar w:fldCharType="end"/>
      </w:r>
    </w:p>
    <w:p w14:paraId="7609CB40" w14:textId="3F5FF0F6" w:rsidR="005972FF" w:rsidRPr="005C1E79" w:rsidRDefault="005972FF" w:rsidP="00416A3B">
      <w:pPr>
        <w:pStyle w:val="ListParagraph"/>
        <w:numPr>
          <w:ilvl w:val="0"/>
          <w:numId w:val="2"/>
        </w:numPr>
        <w:jc w:val="both"/>
        <w:rPr>
          <w:rFonts w:ascii="Times New Roman" w:hAnsi="Times New Roman" w:cs="Times New Roman"/>
        </w:rPr>
      </w:pPr>
      <w:r w:rsidRPr="005C1E79">
        <w:rPr>
          <w:rFonts w:ascii="Times New Roman" w:hAnsi="Times New Roman" w:cs="Times New Roman"/>
        </w:rPr>
        <w:t>Sebutkan Dalil yang dijadikan sandaran pendapat ke dua!</w:t>
      </w:r>
    </w:p>
    <w:p w14:paraId="4326B7A4" w14:textId="0633234D" w:rsidR="005C1E79" w:rsidRDefault="005C1E79" w:rsidP="00416A3B">
      <w:pPr>
        <w:pStyle w:val="ListParagraph"/>
        <w:jc w:val="both"/>
        <w:rPr>
          <w:rFonts w:ascii="Times New Roman" w:hAnsi="Times New Roman" w:cs="Times New Roman"/>
          <w:b/>
          <w:bCs/>
        </w:rPr>
      </w:pPr>
      <w:r w:rsidRPr="005C1E79">
        <w:rPr>
          <w:rFonts w:ascii="Times New Roman" w:hAnsi="Times New Roman" w:cs="Times New Roman"/>
          <w:b/>
          <w:bCs/>
        </w:rPr>
        <w:t>عن عروة، عن عائشة رضي الله عنها مرفوعاً: «أن النبي صلى الله عليه وسلم قَبَّلَ بعض نسائه، ثم خرج إلى الصلاة ولم يتوضَّأ»، قال: قلت: من هي إلا أنت؟ فَضَحِكت</w:t>
      </w:r>
    </w:p>
    <w:p w14:paraId="1C2F7116" w14:textId="04BB25EC" w:rsidR="005C1E79" w:rsidRPr="005C1E79" w:rsidRDefault="005C1E79" w:rsidP="00416A3B">
      <w:pPr>
        <w:pStyle w:val="ListParagraph"/>
        <w:jc w:val="both"/>
        <w:rPr>
          <w:rFonts w:ascii="Times New Roman" w:hAnsi="Times New Roman" w:cs="Times New Roman"/>
        </w:rPr>
      </w:pPr>
      <w:r w:rsidRPr="005C1E79">
        <w:rPr>
          <w:rFonts w:ascii="Times New Roman" w:hAnsi="Times New Roman" w:cs="Times New Roman"/>
        </w:rPr>
        <w:t>Dari Urwah, dari Aisyah -raḍiyallāhu 'anha- bahwa Nabi -ṣallallāhu 'alaihi wa sallam- mencium salah seorang istrinya lalu beliau pergi salat dan tidak berwudu (lagi)." Urwah berkata, Aku bertanya, "Siapakah dia selain engkau?" Aisyah tertawa."</w:t>
      </w:r>
      <w:r w:rsidR="00397F70">
        <w:rPr>
          <w:rFonts w:ascii="Times New Roman" w:hAnsi="Times New Roman" w:cs="Times New Roman"/>
        </w:rPr>
        <w:fldChar w:fldCharType="begin" w:fldLock="1"/>
      </w:r>
      <w:r w:rsidR="006A7DCF">
        <w:rPr>
          <w:rFonts w:ascii="Times New Roman" w:hAnsi="Times New Roman" w:cs="Times New Roman"/>
        </w:rPr>
        <w:instrText>ADDIN CSL_CITATION {"citationItems":[{"id":"ITEM-1","itemData":{"DOI":"10.36701/qiblah.v4i3.2129","author":[{"dropping-particle":"","family":"Saat","given":"Kesucian","non-dropping-particle":"","parse-names":false,"suffix":""},{"dropping-particle":"","family":"Perspektif","given":"Tawaf","non-dropping-particle":"","parse-names":false,"suffix":""},{"dropping-particle":"","family":"Ibadah","given":"Fikih","non-dropping-particle":"","parse-names":false,"suffix":""}],"id":"ITEM-1","issue":"3","issued":{"date-parts":[["2025"]]},"page":"320-342","title":"AL-QIBLAH : Bersentuhan dengan Lawan Jenis sebagai Pembatal","type":"article-journal","volume":"4"},"uris":["http://www.mendeley.com/documents/?uuid=60bc75d9-e18f-46b4-972c-8e968117ad3b"]}],"mendeley":{"formattedCitation":"(Saat et al., 2025)","plainTextFormattedCitation":"(Saat et al., 2025)","previouslyFormattedCitation":"(Saat et al., 2025)"},"properties":{"noteIndex":0},"schema":"https://github.com/citation-style-language/schema/raw/master/csl-citation.json"}</w:instrText>
      </w:r>
      <w:r w:rsidR="00397F70">
        <w:rPr>
          <w:rFonts w:ascii="Times New Roman" w:hAnsi="Times New Roman" w:cs="Times New Roman"/>
        </w:rPr>
        <w:fldChar w:fldCharType="separate"/>
      </w:r>
      <w:r w:rsidR="00397F70" w:rsidRPr="00397F70">
        <w:rPr>
          <w:rFonts w:ascii="Times New Roman" w:hAnsi="Times New Roman" w:cs="Times New Roman"/>
          <w:noProof/>
        </w:rPr>
        <w:t>(Saat et al., 2025)</w:t>
      </w:r>
      <w:r w:rsidR="00397F70">
        <w:rPr>
          <w:rFonts w:ascii="Times New Roman" w:hAnsi="Times New Roman" w:cs="Times New Roman"/>
        </w:rPr>
        <w:fldChar w:fldCharType="end"/>
      </w:r>
    </w:p>
    <w:p w14:paraId="70C754E0" w14:textId="09A3ABB3" w:rsidR="005972FF" w:rsidRPr="005C1E79" w:rsidRDefault="005972FF" w:rsidP="00416A3B">
      <w:pPr>
        <w:pStyle w:val="ListParagraph"/>
        <w:numPr>
          <w:ilvl w:val="0"/>
          <w:numId w:val="2"/>
        </w:numPr>
        <w:jc w:val="both"/>
        <w:rPr>
          <w:rFonts w:ascii="Times New Roman" w:hAnsi="Times New Roman" w:cs="Times New Roman"/>
        </w:rPr>
      </w:pPr>
      <w:r w:rsidRPr="005C1E79">
        <w:rPr>
          <w:rFonts w:ascii="Times New Roman" w:hAnsi="Times New Roman" w:cs="Times New Roman"/>
        </w:rPr>
        <w:t>Metode apa yang dipakai Pendapat pertama untuk menentukan bahwa hukumnya membatalkan?</w:t>
      </w:r>
    </w:p>
    <w:p w14:paraId="291AC77C" w14:textId="77777777" w:rsidR="005C1E79" w:rsidRPr="005C1E79" w:rsidRDefault="005C1E79" w:rsidP="00416A3B">
      <w:pPr>
        <w:pStyle w:val="ListParagraph"/>
        <w:jc w:val="both"/>
        <w:rPr>
          <w:rFonts w:ascii="Times New Roman" w:hAnsi="Times New Roman" w:cs="Times New Roman"/>
        </w:rPr>
      </w:pPr>
      <w:r w:rsidRPr="005C1E79">
        <w:rPr>
          <w:rFonts w:ascii="Times New Roman" w:hAnsi="Times New Roman" w:cs="Times New Roman"/>
        </w:rPr>
        <w:t>Pendapat pertama menggunakan metode:</w:t>
      </w:r>
    </w:p>
    <w:p w14:paraId="0363B40C" w14:textId="66B38BDD" w:rsidR="005C1E79" w:rsidRPr="005C1E79" w:rsidRDefault="005C1E79" w:rsidP="00416A3B">
      <w:pPr>
        <w:pStyle w:val="ListParagraph"/>
        <w:jc w:val="both"/>
        <w:rPr>
          <w:rFonts w:ascii="Times New Roman" w:hAnsi="Times New Roman" w:cs="Times New Roman"/>
        </w:rPr>
      </w:pPr>
      <w:r w:rsidRPr="005C1E79">
        <w:rPr>
          <w:rFonts w:ascii="Times New Roman" w:hAnsi="Times New Roman" w:cs="Times New Roman"/>
        </w:rPr>
        <w:t>Pendekatan bahasa (lughawi) memahami kata sesuai makna asli</w:t>
      </w:r>
    </w:p>
    <w:p w14:paraId="22FED53A" w14:textId="11098FB4" w:rsidR="005C1E79" w:rsidRPr="005C1E79" w:rsidRDefault="005C1E79" w:rsidP="00416A3B">
      <w:pPr>
        <w:pStyle w:val="ListParagraph"/>
        <w:jc w:val="both"/>
        <w:rPr>
          <w:rFonts w:ascii="Times New Roman" w:hAnsi="Times New Roman" w:cs="Times New Roman"/>
        </w:rPr>
      </w:pPr>
      <w:r w:rsidRPr="005C1E79">
        <w:rPr>
          <w:rFonts w:ascii="Times New Roman" w:hAnsi="Times New Roman" w:cs="Times New Roman"/>
        </w:rPr>
        <w:t>Zahir nash (tekstual)  tidak melakukan penafsiran tambahan</w:t>
      </w:r>
    </w:p>
    <w:p w14:paraId="2546D3A2" w14:textId="36DAADE1" w:rsidR="005C1E79" w:rsidRPr="005C1E79" w:rsidRDefault="005C1E79" w:rsidP="00416A3B">
      <w:pPr>
        <w:pStyle w:val="ListParagraph"/>
        <w:jc w:val="both"/>
        <w:rPr>
          <w:rFonts w:ascii="Times New Roman" w:hAnsi="Times New Roman" w:cs="Times New Roman"/>
        </w:rPr>
      </w:pPr>
      <w:r w:rsidRPr="005C1E79">
        <w:rPr>
          <w:rFonts w:ascii="Times New Roman" w:hAnsi="Times New Roman" w:cs="Times New Roman"/>
        </w:rPr>
        <w:lastRenderedPageBreak/>
        <w:t>Ihtiyath (kehati-hatian)  menjaga wudhu agar tetap sah</w:t>
      </w:r>
    </w:p>
    <w:p w14:paraId="21C47AB1" w14:textId="10ACBC2E" w:rsidR="005C1E79" w:rsidRPr="005C1E79" w:rsidRDefault="005C1E79" w:rsidP="00416A3B">
      <w:pPr>
        <w:pStyle w:val="ListParagraph"/>
        <w:jc w:val="both"/>
        <w:rPr>
          <w:rFonts w:ascii="Times New Roman" w:hAnsi="Times New Roman" w:cs="Times New Roman"/>
        </w:rPr>
      </w:pPr>
      <w:r w:rsidRPr="005C1E79">
        <w:rPr>
          <w:rFonts w:ascii="Times New Roman" w:hAnsi="Times New Roman" w:cs="Times New Roman"/>
        </w:rPr>
        <w:t>Mereka tidak menakwil kata “menyentuh” karena tidak ada indikasi kuat yang memalingkannya.</w:t>
      </w:r>
      <w:r w:rsidR="00690C6E">
        <w:rPr>
          <w:rFonts w:ascii="Times New Roman" w:hAnsi="Times New Roman" w:cs="Times New Roman"/>
        </w:rPr>
        <w:fldChar w:fldCharType="begin" w:fldLock="1"/>
      </w:r>
      <w:r w:rsidR="00690C6E">
        <w:rPr>
          <w:rFonts w:ascii="Times New Roman" w:hAnsi="Times New Roman" w:cs="Times New Roman"/>
        </w:rPr>
        <w:instrText>ADDIN CSL_CITATION {"citationItems":[{"id":"ITEM-1","itemData":{"author":[{"dropping-particle":"","family":"Amalia","given":"Najma","non-dropping-particle":"","parse-names":false,"suffix":""},{"dropping-particle":"","family":"Hanafiah","given":"M","non-dropping-particle":"","parse-names":false,"suffix":""},{"dropping-particle":"","family":"Islam","given":"Universitas","non-dropping-particle":"","parse-names":false,"suffix":""},{"dropping-particle":"","family":"Antasari","given":"Negeri","non-dropping-particle":"","parse-names":false,"suffix":""}],"id":"ITEM-1","issued":{"date-parts":[["2025"]]},"page":"1377-1390","title":"Hukum menyentuh kemaluan setelah berwudhu menurut mazhab hanafi dan mazhab hanbali","type":"article-journal"},"uris":["http://www.mendeley.com/documents/?uuid=c0e9ef3e-2603-4758-bb5b-7cab134bb6e8"]}],"mendeley":{"formattedCitation":"(Amalia et al., 2025)","plainTextFormattedCitation":"(Amalia et al., 2025)"},"properties":{"noteIndex":0},"schema":"https://github.com/citation-style-language/schema/raw/master/csl-citation.json"}</w:instrText>
      </w:r>
      <w:r w:rsidR="00690C6E">
        <w:rPr>
          <w:rFonts w:ascii="Times New Roman" w:hAnsi="Times New Roman" w:cs="Times New Roman"/>
        </w:rPr>
        <w:fldChar w:fldCharType="separate"/>
      </w:r>
      <w:r w:rsidR="00690C6E" w:rsidRPr="00690C6E">
        <w:rPr>
          <w:rFonts w:ascii="Times New Roman" w:hAnsi="Times New Roman" w:cs="Times New Roman"/>
          <w:noProof/>
        </w:rPr>
        <w:t>(Amalia et al., 2025)</w:t>
      </w:r>
      <w:r w:rsidR="00690C6E">
        <w:rPr>
          <w:rFonts w:ascii="Times New Roman" w:hAnsi="Times New Roman" w:cs="Times New Roman"/>
        </w:rPr>
        <w:fldChar w:fldCharType="end"/>
      </w:r>
    </w:p>
    <w:p w14:paraId="2A1014AE" w14:textId="7E35135D" w:rsidR="005972FF" w:rsidRPr="005C1E79" w:rsidRDefault="005972FF" w:rsidP="00416A3B">
      <w:pPr>
        <w:pStyle w:val="ListParagraph"/>
        <w:numPr>
          <w:ilvl w:val="0"/>
          <w:numId w:val="2"/>
        </w:numPr>
        <w:jc w:val="both"/>
        <w:rPr>
          <w:rFonts w:ascii="Times New Roman" w:hAnsi="Times New Roman" w:cs="Times New Roman"/>
        </w:rPr>
      </w:pPr>
      <w:r w:rsidRPr="005C1E79">
        <w:rPr>
          <w:rFonts w:ascii="Times New Roman" w:hAnsi="Times New Roman" w:cs="Times New Roman"/>
        </w:rPr>
        <w:t>Metode pendapat ke dua untuk menentukan bahwa hukumnya tidak membatalkan?</w:t>
      </w:r>
    </w:p>
    <w:p w14:paraId="77BD5434" w14:textId="77777777" w:rsidR="005C1E79" w:rsidRPr="005C1E79" w:rsidRDefault="005C1E79" w:rsidP="00416A3B">
      <w:pPr>
        <w:pStyle w:val="ListParagraph"/>
        <w:jc w:val="both"/>
        <w:rPr>
          <w:rFonts w:ascii="Times New Roman" w:hAnsi="Times New Roman" w:cs="Times New Roman"/>
        </w:rPr>
      </w:pPr>
      <w:r w:rsidRPr="005C1E79">
        <w:rPr>
          <w:rFonts w:ascii="Times New Roman" w:hAnsi="Times New Roman" w:cs="Times New Roman"/>
        </w:rPr>
        <w:t>Pendapat kedua menggunakan metode:</w:t>
      </w:r>
    </w:p>
    <w:p w14:paraId="3554467A" w14:textId="5B9FA18F" w:rsidR="005C1E79" w:rsidRPr="005C1E79" w:rsidRDefault="005C1E79" w:rsidP="00416A3B">
      <w:pPr>
        <w:pStyle w:val="ListParagraph"/>
        <w:jc w:val="both"/>
        <w:rPr>
          <w:rFonts w:ascii="Times New Roman" w:hAnsi="Times New Roman" w:cs="Times New Roman"/>
        </w:rPr>
      </w:pPr>
      <w:r w:rsidRPr="005C1E79">
        <w:rPr>
          <w:rFonts w:ascii="Times New Roman" w:hAnsi="Times New Roman" w:cs="Times New Roman"/>
        </w:rPr>
        <w:t>Ta’wil (penafsiran)</w:t>
      </w:r>
      <w:r>
        <w:rPr>
          <w:rFonts w:ascii="Times New Roman" w:hAnsi="Times New Roman" w:cs="Times New Roman"/>
        </w:rPr>
        <w:t xml:space="preserve"> </w:t>
      </w:r>
      <w:r w:rsidRPr="005C1E79">
        <w:rPr>
          <w:rFonts w:ascii="Times New Roman" w:hAnsi="Times New Roman" w:cs="Times New Roman"/>
        </w:rPr>
        <w:t>memaknai “menyentuh” sebagai jima’</w:t>
      </w:r>
    </w:p>
    <w:p w14:paraId="7D208C42" w14:textId="6996D1E3" w:rsidR="005C1E79" w:rsidRPr="005C1E79" w:rsidRDefault="005C1E79" w:rsidP="00416A3B">
      <w:pPr>
        <w:pStyle w:val="ListParagraph"/>
        <w:jc w:val="both"/>
        <w:rPr>
          <w:rFonts w:ascii="Times New Roman" w:hAnsi="Times New Roman" w:cs="Times New Roman"/>
        </w:rPr>
      </w:pPr>
      <w:r w:rsidRPr="005C1E79">
        <w:rPr>
          <w:rFonts w:ascii="Times New Roman" w:hAnsi="Times New Roman" w:cs="Times New Roman"/>
        </w:rPr>
        <w:t>Jam’u bainal adillah</w:t>
      </w:r>
      <w:r>
        <w:rPr>
          <w:rFonts w:ascii="Times New Roman" w:hAnsi="Times New Roman" w:cs="Times New Roman"/>
        </w:rPr>
        <w:t xml:space="preserve"> </w:t>
      </w:r>
      <w:r w:rsidRPr="005C1E79">
        <w:rPr>
          <w:rFonts w:ascii="Times New Roman" w:hAnsi="Times New Roman" w:cs="Times New Roman"/>
        </w:rPr>
        <w:t>menggabungkan Al-Qur’an dan hadis</w:t>
      </w:r>
    </w:p>
    <w:p w14:paraId="29535D75" w14:textId="69F1EC9C" w:rsidR="005C1E79" w:rsidRPr="005C1E79" w:rsidRDefault="005C1E79" w:rsidP="00416A3B">
      <w:pPr>
        <w:pStyle w:val="ListParagraph"/>
        <w:jc w:val="both"/>
        <w:rPr>
          <w:rFonts w:ascii="Times New Roman" w:hAnsi="Times New Roman" w:cs="Times New Roman"/>
        </w:rPr>
      </w:pPr>
      <w:r w:rsidRPr="005C1E79">
        <w:rPr>
          <w:rFonts w:ascii="Times New Roman" w:hAnsi="Times New Roman" w:cs="Times New Roman"/>
        </w:rPr>
        <w:t>Istidlal hadis menjadikan praktik Nabi sebagai penjelas ayat</w:t>
      </w:r>
      <w:r w:rsidR="002344B8">
        <w:rPr>
          <w:rFonts w:ascii="Times New Roman" w:hAnsi="Times New Roman" w:cs="Times New Roman"/>
        </w:rPr>
        <w:t>.</w:t>
      </w:r>
      <w:r w:rsidR="002344B8">
        <w:rPr>
          <w:rFonts w:ascii="Times New Roman" w:hAnsi="Times New Roman" w:cs="Times New Roman"/>
        </w:rPr>
        <w:fldChar w:fldCharType="begin" w:fldLock="1"/>
      </w:r>
      <w:r w:rsidR="00161DA0">
        <w:rPr>
          <w:rFonts w:ascii="Times New Roman" w:hAnsi="Times New Roman" w:cs="Times New Roman"/>
        </w:rPr>
        <w:instrText>ADDIN CSL_CITATION {"citationItems":[{"id":"ITEM-1","itemData":{"author":[{"dropping-particle":"","family":"Amalia","given":"Najma","non-dropping-particle":"","parse-names":false,"suffix":""},{"dropping-particle":"","family":"Hanafiah","given":"M","non-dropping-particle":"","parse-names":false,"suffix":""},{"dropping-particle":"","family":"Islam","given":"Universitas","non-dropping-particle":"","parse-names":false,"suffix":""},{"dropping-particle":"","family":"Antasari","given":"Negeri","non-dropping-particle":"","parse-names":false,"suffix":""}],"id":"ITEM-1","issued":{"date-parts":[["2025"]]},"page":"1377-1390","title":"Hukum menyentuh kemaluan setelah berwudhu menurut mazhab hanafi dan mazhab hanbali","type":"article-journal"},"uris":["http://www.mendeley.com/documents/?uuid=c0e9ef3e-2603-4758-bb5b-7cab134bb6e8"]}],"mendeley":{"formattedCitation":"(Amalia et al., 2025)","plainTextFormattedCitation":"(Amalia et al., 2025)","previouslyFormattedCitation":"(Amalia et al., 2025)"},"properties":{"noteIndex":0},"schema":"https://github.com/citation-style-language/schema/raw/master/csl-citation.json"}</w:instrText>
      </w:r>
      <w:r w:rsidR="002344B8">
        <w:rPr>
          <w:rFonts w:ascii="Times New Roman" w:hAnsi="Times New Roman" w:cs="Times New Roman"/>
        </w:rPr>
        <w:fldChar w:fldCharType="separate"/>
      </w:r>
      <w:r w:rsidR="002344B8" w:rsidRPr="002344B8">
        <w:rPr>
          <w:rFonts w:ascii="Times New Roman" w:hAnsi="Times New Roman" w:cs="Times New Roman"/>
          <w:noProof/>
        </w:rPr>
        <w:t>(Amalia et al., 2025)</w:t>
      </w:r>
      <w:r w:rsidR="002344B8">
        <w:rPr>
          <w:rFonts w:ascii="Times New Roman" w:hAnsi="Times New Roman" w:cs="Times New Roman"/>
        </w:rPr>
        <w:fldChar w:fldCharType="end"/>
      </w:r>
    </w:p>
    <w:p w14:paraId="2E32005E" w14:textId="6476FE10" w:rsidR="00416A3B" w:rsidRPr="00416A3B" w:rsidRDefault="005972FF" w:rsidP="00416A3B">
      <w:pPr>
        <w:pStyle w:val="ListParagraph"/>
        <w:numPr>
          <w:ilvl w:val="0"/>
          <w:numId w:val="2"/>
        </w:numPr>
        <w:jc w:val="both"/>
        <w:rPr>
          <w:rFonts w:ascii="Times New Roman" w:hAnsi="Times New Roman" w:cs="Times New Roman"/>
        </w:rPr>
      </w:pPr>
      <w:r w:rsidRPr="005C1E79">
        <w:rPr>
          <w:rFonts w:ascii="Times New Roman" w:hAnsi="Times New Roman" w:cs="Times New Roman"/>
        </w:rPr>
        <w:t>Mengapa ulama pertama mengatakan bahwa itu membatalkan?</w:t>
      </w:r>
    </w:p>
    <w:p w14:paraId="4F44DC35" w14:textId="5AAE4460" w:rsidR="00416A3B" w:rsidRPr="00416A3B" w:rsidRDefault="00416A3B" w:rsidP="00416A3B">
      <w:pPr>
        <w:pStyle w:val="ListParagraph"/>
        <w:jc w:val="both"/>
        <w:rPr>
          <w:rFonts w:ascii="Times New Roman" w:hAnsi="Times New Roman" w:cs="Times New Roman"/>
        </w:rPr>
      </w:pPr>
      <w:r w:rsidRPr="00416A3B">
        <w:rPr>
          <w:rFonts w:ascii="Times New Roman" w:hAnsi="Times New Roman" w:cs="Times New Roman"/>
        </w:rPr>
        <w:t xml:space="preserve">Ulama pertama berpendapat bahwa menyentuh lawan jenis membatalkan wudhu karena mereka memahami ayat Al-Qur’an secara zahir (literal), khususnya pada lafadz “menyentuh perempuan” dalam QS. An-Nisa: 43. Bagi mereka, kata tersebut harus dipahami sesuai makna aslinya, yaitu sentuhan fisik secara langsung. Selain itu, mereka </w:t>
      </w:r>
      <w:r w:rsidR="00344FA7">
        <w:rPr>
          <w:rFonts w:ascii="Times New Roman" w:hAnsi="Times New Roman" w:cs="Times New Roman"/>
        </w:rPr>
        <w:t>m</w:t>
      </w:r>
      <w:r w:rsidRPr="00416A3B">
        <w:rPr>
          <w:rFonts w:ascii="Times New Roman" w:hAnsi="Times New Roman" w:cs="Times New Roman"/>
        </w:rPr>
        <w:t>enganggap bahwa sentuhan tersebut termasuk bentuk hadas kecil yang dapat membatalkan wudhu. Pendapat ini juga didasari oleh sikap kehati-hatian (ihtiyath) dalam ibadah, yaitu memilih pendapat yang lebih aman agar kesucian tetap terjaga.</w:t>
      </w:r>
      <w:r w:rsidR="00161DA0">
        <w:rPr>
          <w:rFonts w:ascii="Times New Roman" w:hAnsi="Times New Roman" w:cs="Times New Roman"/>
        </w:rPr>
        <w:fldChar w:fldCharType="begin" w:fldLock="1"/>
      </w:r>
      <w:r w:rsidR="00344FA7">
        <w:rPr>
          <w:rFonts w:ascii="Times New Roman" w:hAnsi="Times New Roman" w:cs="Times New Roman"/>
        </w:rPr>
        <w:instrText>ADDIN CSL_CITATION {"citationItems":[{"id":"ITEM-1","itemData":{"author":[{"dropping-particle":"","family":"Amalia","given":"Najma","non-dropping-particle":"","parse-names":false,"suffix":""},{"dropping-particle":"","family":"Hanafiah","given":"M","non-dropping-particle":"","parse-names":false,"suffix":""},{"dropping-particle":"","family":"Islam","given":"Universitas","non-dropping-particle":"","parse-names":false,"suffix":""},{"dropping-particle":"","family":"Antasari","given":"Negeri","non-dropping-particle":"","parse-names":false,"suffix":""}],"id":"ITEM-1","issued":{"date-parts":[["2025"]]},"page":"1377-1390","title":"Hukum menyentuh kemaluan setelah berwudhu menurut mazhab hanafi dan mazhab hanbali","type":"article-journal"},"uris":["http://www.mendeley.com/documents/?uuid=c0e9ef3e-2603-4758-bb5b-7cab134bb6e8"]}],"mendeley":{"formattedCitation":"(Amalia et al., 2025)","plainTextFormattedCitation":"(Amalia et al., 2025)","previouslyFormattedCitation":"(Amalia et al., 2025)"},"properties":{"noteIndex":0},"schema":"https://github.com/citation-style-language/schema/raw/master/csl-citation.json"}</w:instrText>
      </w:r>
      <w:r w:rsidR="00161DA0">
        <w:rPr>
          <w:rFonts w:ascii="Times New Roman" w:hAnsi="Times New Roman" w:cs="Times New Roman"/>
        </w:rPr>
        <w:fldChar w:fldCharType="separate"/>
      </w:r>
      <w:r w:rsidR="00161DA0" w:rsidRPr="00161DA0">
        <w:rPr>
          <w:rFonts w:ascii="Times New Roman" w:hAnsi="Times New Roman" w:cs="Times New Roman"/>
          <w:noProof/>
        </w:rPr>
        <w:t>(Amalia et al., 2025)</w:t>
      </w:r>
      <w:r w:rsidR="00161DA0">
        <w:rPr>
          <w:rFonts w:ascii="Times New Roman" w:hAnsi="Times New Roman" w:cs="Times New Roman"/>
        </w:rPr>
        <w:fldChar w:fldCharType="end"/>
      </w:r>
    </w:p>
    <w:p w14:paraId="1FC0B0BA" w14:textId="6BD96511" w:rsidR="00416A3B" w:rsidRPr="00416A3B" w:rsidRDefault="00416A3B" w:rsidP="00416A3B">
      <w:pPr>
        <w:pStyle w:val="ListParagraph"/>
        <w:numPr>
          <w:ilvl w:val="0"/>
          <w:numId w:val="2"/>
        </w:numPr>
        <w:jc w:val="both"/>
        <w:rPr>
          <w:rFonts w:ascii="Times New Roman" w:hAnsi="Times New Roman" w:cs="Times New Roman"/>
        </w:rPr>
      </w:pPr>
      <w:r w:rsidRPr="00416A3B">
        <w:rPr>
          <w:rFonts w:ascii="Times New Roman" w:hAnsi="Times New Roman" w:cs="Times New Roman"/>
        </w:rPr>
        <w:t>Mengapa ulama kedua mengatakan tidak membatalkan</w:t>
      </w:r>
    </w:p>
    <w:p w14:paraId="3E489062" w14:textId="3D3B88F8" w:rsidR="00416A3B" w:rsidRPr="00416A3B" w:rsidRDefault="00416A3B" w:rsidP="00416A3B">
      <w:pPr>
        <w:pStyle w:val="ListParagraph"/>
        <w:jc w:val="both"/>
        <w:rPr>
          <w:rFonts w:ascii="Times New Roman" w:hAnsi="Times New Roman" w:cs="Times New Roman"/>
        </w:rPr>
      </w:pPr>
      <w:r w:rsidRPr="00416A3B">
        <w:rPr>
          <w:rFonts w:ascii="Times New Roman" w:hAnsi="Times New Roman" w:cs="Times New Roman"/>
        </w:rPr>
        <w:t>Ulama kedua berpendapat bahwa menyentuh lawan jenis tidak membatalkan wudhu karena adanya hadis dari Aisyah yang menjelaskan bahwa Nabi pernah mencium istrinya kemudian tetap melaksanakan shalat tanpa berwudhu lagi. Dari sini mereka memahami bahwa sentuhan biasa tidak termasuk pembatal wudhu. Mereka juga menekankan bahwa Al-Qur’an harus dipahami bersama hadis sebagai penjelas, sehingga lafadz “menyentuh” dalam ayat ditafsirkan sebagai hubungan suami istri (jima’), bukan sekadar sentuhan biasa.</w:t>
      </w:r>
      <w:r w:rsidR="00344FA7">
        <w:rPr>
          <w:rFonts w:ascii="Times New Roman" w:hAnsi="Times New Roman" w:cs="Times New Roman"/>
        </w:rPr>
        <w:fldChar w:fldCharType="begin" w:fldLock="1"/>
      </w:r>
      <w:r w:rsidR="0096607E">
        <w:rPr>
          <w:rFonts w:ascii="Times New Roman" w:hAnsi="Times New Roman" w:cs="Times New Roman"/>
        </w:rPr>
        <w:instrText>ADDIN CSL_CITATION {"citationItems":[{"id":"ITEM-1","itemData":{"author":[{"dropping-particle":"","family":"Amalia","given":"Najma","non-dropping-particle":"","parse-names":false,"suffix":""},{"dropping-particle":"","family":"Hanafiah","given":"M","non-dropping-particle":"","parse-names":false,"suffix":""},{"dropping-particle":"","family":"Islam","given":"Universitas","non-dropping-particle":"","parse-names":false,"suffix":""},{"dropping-particle":"","family":"Antasari","given":"Negeri","non-dropping-particle":"","parse-names":false,"suffix":""}],"id":"ITEM-1","issued":{"date-parts":[["2025"]]},"page":"1377-1390","title":"Hukum menyentuh kemaluan setelah berwudhu menurut mazhab hanafi dan mazhab hanbali","type":"article-journal"},"uris":["http://www.mendeley.com/documents/?uuid=c0e9ef3e-2603-4758-bb5b-7cab134bb6e8"]}],"mendeley":{"formattedCitation":"(Amalia et al., 2025)","plainTextFormattedCitation":"(Amalia et al., 2025)","previouslyFormattedCitation":"(Amalia et al., 2025)"},"properties":{"noteIndex":0},"schema":"https://github.com/citation-style-language/schema/raw/master/csl-citation.json"}</w:instrText>
      </w:r>
      <w:r w:rsidR="00344FA7">
        <w:rPr>
          <w:rFonts w:ascii="Times New Roman" w:hAnsi="Times New Roman" w:cs="Times New Roman"/>
        </w:rPr>
        <w:fldChar w:fldCharType="separate"/>
      </w:r>
      <w:r w:rsidR="00344FA7" w:rsidRPr="00344FA7">
        <w:rPr>
          <w:rFonts w:ascii="Times New Roman" w:hAnsi="Times New Roman" w:cs="Times New Roman"/>
          <w:noProof/>
        </w:rPr>
        <w:t>(Amalia et al., 2025)</w:t>
      </w:r>
      <w:r w:rsidR="00344FA7">
        <w:rPr>
          <w:rFonts w:ascii="Times New Roman" w:hAnsi="Times New Roman" w:cs="Times New Roman"/>
        </w:rPr>
        <w:fldChar w:fldCharType="end"/>
      </w:r>
    </w:p>
    <w:p w14:paraId="00D7DE04" w14:textId="3FF37069" w:rsidR="00416A3B" w:rsidRPr="00416A3B" w:rsidRDefault="00416A3B" w:rsidP="00416A3B">
      <w:pPr>
        <w:pStyle w:val="ListParagraph"/>
        <w:numPr>
          <w:ilvl w:val="0"/>
          <w:numId w:val="2"/>
        </w:numPr>
        <w:jc w:val="both"/>
        <w:rPr>
          <w:rFonts w:ascii="Times New Roman" w:hAnsi="Times New Roman" w:cs="Times New Roman"/>
        </w:rPr>
      </w:pPr>
      <w:r w:rsidRPr="00416A3B">
        <w:rPr>
          <w:rFonts w:ascii="Times New Roman" w:hAnsi="Times New Roman" w:cs="Times New Roman"/>
        </w:rPr>
        <w:t>Kelemahan pendapat pertama</w:t>
      </w:r>
    </w:p>
    <w:p w14:paraId="4926FD8F" w14:textId="09A810A6" w:rsidR="00871B63" w:rsidRDefault="00416A3B" w:rsidP="00871B63">
      <w:pPr>
        <w:pStyle w:val="ListParagraph"/>
        <w:jc w:val="both"/>
        <w:rPr>
          <w:rFonts w:ascii="Times New Roman" w:hAnsi="Times New Roman" w:cs="Times New Roman"/>
        </w:rPr>
      </w:pPr>
      <w:r w:rsidRPr="00416A3B">
        <w:rPr>
          <w:rFonts w:ascii="Times New Roman" w:hAnsi="Times New Roman" w:cs="Times New Roman"/>
        </w:rPr>
        <w:t>Pendapat pertama dinilai memiliki kelemahan karena kurang memperhatikan hadis-hadis yang menunjukkan bahwa Nabi tidak selalu berwudhu setelah menyentuh istrinya. Selain itu, pendekatan yang terlalu tekstual terhadap ayat Al-Qur’an membuat maknanya menjadi sempit tanpa mempertimbangkan kemungkinan penafsiran lain. Dalam praktik sehari-hari, pendapat ini juga bisa menyulitkan umat, karena interaksi sosial yang melibatkan sentuhan menjadi sangat terbatas dan berpotensi sering membatalkan wudhu.</w:t>
      </w:r>
      <w:r w:rsidR="00631CE2">
        <w:rPr>
          <w:rFonts w:ascii="Times New Roman" w:hAnsi="Times New Roman" w:cs="Times New Roman"/>
        </w:rPr>
        <w:fldChar w:fldCharType="begin" w:fldLock="1"/>
      </w:r>
      <w:r w:rsidR="002D4623">
        <w:rPr>
          <w:rFonts w:ascii="Times New Roman" w:hAnsi="Times New Roman" w:cs="Times New Roman"/>
        </w:rPr>
        <w:instrText>ADDIN CSL_CITATION {"citationItems":[{"id":"ITEM-1","itemData":{"author":[{"dropping-particle":"","family":"Jazuli","given":"M.","non-dropping-particle":"","parse-names":false,"suffix":""}],"id":"ITEM-1","issued":{"date-parts":[["2021"]]},"title":"etode Istinbath Hukum dan Pengaruhnya terhadap Fiqih di Indonesia","type":"article-journal"},"uris":["http://www.mendeley.com/documents/?uuid=c8d6c996-5c9c-47eb-bb63-f6667899f9c8"]}],"mendeley":{"formattedCitation":"(Jazuli, 2021)","plainTextFormattedCitation":"(Jazuli, 2021)","previouslyFormattedCitation":"(Jazuli, 2021)"},"properties":{"noteIndex":0},"schema":"https://github.com/citation-style-language/schema/raw/master/csl-citation.json"}</w:instrText>
      </w:r>
      <w:r w:rsidR="00631CE2">
        <w:rPr>
          <w:rFonts w:ascii="Times New Roman" w:hAnsi="Times New Roman" w:cs="Times New Roman"/>
        </w:rPr>
        <w:fldChar w:fldCharType="separate"/>
      </w:r>
      <w:r w:rsidR="00631CE2" w:rsidRPr="00631CE2">
        <w:rPr>
          <w:rFonts w:ascii="Times New Roman" w:hAnsi="Times New Roman" w:cs="Times New Roman"/>
          <w:noProof/>
        </w:rPr>
        <w:t>(Jazuli, 2021)</w:t>
      </w:r>
      <w:r w:rsidR="00631CE2">
        <w:rPr>
          <w:rFonts w:ascii="Times New Roman" w:hAnsi="Times New Roman" w:cs="Times New Roman"/>
        </w:rPr>
        <w:fldChar w:fldCharType="end"/>
      </w:r>
    </w:p>
    <w:p w14:paraId="11ECEEEE" w14:textId="1A144B63" w:rsidR="00416A3B" w:rsidRPr="00416A3B" w:rsidRDefault="00416A3B" w:rsidP="00631CE2">
      <w:pPr>
        <w:pStyle w:val="ListParagraph"/>
        <w:numPr>
          <w:ilvl w:val="0"/>
          <w:numId w:val="2"/>
        </w:numPr>
        <w:jc w:val="both"/>
        <w:rPr>
          <w:rFonts w:ascii="Times New Roman" w:hAnsi="Times New Roman" w:cs="Times New Roman"/>
        </w:rPr>
      </w:pPr>
      <w:r w:rsidRPr="00416A3B">
        <w:rPr>
          <w:rFonts w:ascii="Times New Roman" w:hAnsi="Times New Roman" w:cs="Times New Roman"/>
        </w:rPr>
        <w:t>Kelemahan pendapat kedua</w:t>
      </w:r>
    </w:p>
    <w:p w14:paraId="4996EAB7" w14:textId="2CE1DC40" w:rsidR="00416A3B" w:rsidRPr="00416A3B" w:rsidRDefault="00416A3B" w:rsidP="00416A3B">
      <w:pPr>
        <w:pStyle w:val="ListParagraph"/>
        <w:jc w:val="both"/>
        <w:rPr>
          <w:rFonts w:ascii="Times New Roman" w:hAnsi="Times New Roman" w:cs="Times New Roman"/>
        </w:rPr>
      </w:pPr>
      <w:r w:rsidRPr="00416A3B">
        <w:rPr>
          <w:rFonts w:ascii="Times New Roman" w:hAnsi="Times New Roman" w:cs="Times New Roman"/>
        </w:rPr>
        <w:t>Sementara itu, pendapat kedua memiliki kelemahan karena harus menakwil ayat Al-Qur’an dari makna zahirnya menjadi makna lain, yaitu jima’. Penafsiran ini tidak disepakati oleh semua ulama, sehingga menimbulkan perbedaan pendapat. Selain itu, pendapat ini sangat bergantung pada pemahaman terhadap hadis, yang dalam beberapa kasus bisa ditafsirkan berbeda-beda oleh para ulama.</w:t>
      </w:r>
      <w:r w:rsidR="002D4623">
        <w:rPr>
          <w:rFonts w:ascii="Times New Roman" w:hAnsi="Times New Roman" w:cs="Times New Roman"/>
        </w:rPr>
        <w:fldChar w:fldCharType="begin" w:fldLock="1"/>
      </w:r>
      <w:r w:rsidR="00690C6E">
        <w:rPr>
          <w:rFonts w:ascii="Times New Roman" w:hAnsi="Times New Roman" w:cs="Times New Roman"/>
        </w:rPr>
        <w:instrText>ADDIN CSL_CITATION {"citationItems":[{"id":"ITEM-1","itemData":{"author":[{"dropping-particle":"","family":"Jazuli","given":"M.","non-dropping-particle":"","parse-names":false,"suffix":""}],"id":"ITEM-1","issued":{"date-parts":[["2021"]]},"title":"etode Istinbath Hukum dan Pengaruhnya terhadap Fiqih di Indonesia","type":"article-journal"},"uris":["http://www.mendeley.com/documents/?uuid=c8d6c996-5c9c-47eb-bb63-f6667899f9c8"]}],"mendeley":{"formattedCitation":"(Jazuli, 2021)","plainTextFormattedCitation":"(Jazuli, 2021)","previouslyFormattedCitation":"(Jazuli, 2021)"},"properties":{"noteIndex":0},"schema":"https://github.com/citation-style-language/schema/raw/master/csl-citation.json"}</w:instrText>
      </w:r>
      <w:r w:rsidR="002D4623">
        <w:rPr>
          <w:rFonts w:ascii="Times New Roman" w:hAnsi="Times New Roman" w:cs="Times New Roman"/>
        </w:rPr>
        <w:fldChar w:fldCharType="separate"/>
      </w:r>
      <w:r w:rsidR="002D4623" w:rsidRPr="002D4623">
        <w:rPr>
          <w:rFonts w:ascii="Times New Roman" w:hAnsi="Times New Roman" w:cs="Times New Roman"/>
          <w:noProof/>
        </w:rPr>
        <w:t>(Jazuli, 2021)</w:t>
      </w:r>
      <w:r w:rsidR="002D4623">
        <w:rPr>
          <w:rFonts w:ascii="Times New Roman" w:hAnsi="Times New Roman" w:cs="Times New Roman"/>
        </w:rPr>
        <w:fldChar w:fldCharType="end"/>
      </w:r>
    </w:p>
    <w:p w14:paraId="3DB7488B" w14:textId="046EE052" w:rsidR="00416A3B" w:rsidRPr="00416A3B" w:rsidRDefault="00416A3B" w:rsidP="00416A3B">
      <w:pPr>
        <w:pStyle w:val="ListParagraph"/>
        <w:numPr>
          <w:ilvl w:val="0"/>
          <w:numId w:val="2"/>
        </w:numPr>
        <w:jc w:val="both"/>
        <w:rPr>
          <w:rFonts w:ascii="Times New Roman" w:hAnsi="Times New Roman" w:cs="Times New Roman"/>
        </w:rPr>
      </w:pPr>
      <w:r w:rsidRPr="00416A3B">
        <w:rPr>
          <w:rFonts w:ascii="Times New Roman" w:hAnsi="Times New Roman" w:cs="Times New Roman"/>
        </w:rPr>
        <w:t>Kekuatan pendapat pertama</w:t>
      </w:r>
    </w:p>
    <w:p w14:paraId="3B66E313" w14:textId="322B2C77" w:rsidR="00416A3B" w:rsidRPr="00416A3B" w:rsidRDefault="00416A3B" w:rsidP="00416A3B">
      <w:pPr>
        <w:pStyle w:val="ListParagraph"/>
        <w:jc w:val="both"/>
        <w:rPr>
          <w:rFonts w:ascii="Times New Roman" w:hAnsi="Times New Roman" w:cs="Times New Roman"/>
        </w:rPr>
      </w:pPr>
      <w:r w:rsidRPr="00416A3B">
        <w:rPr>
          <w:rFonts w:ascii="Times New Roman" w:hAnsi="Times New Roman" w:cs="Times New Roman"/>
        </w:rPr>
        <w:t>Kekuatan utama pendapat pertama terletak pada konsistensinya dalam berpegang pada lafadz Al-Qur’an tanpa penafsiran tambahan. Mereka menggunakan kaidah bahwa hukum harus diambil dari makna zahir nash selama tidak ada dalil kuat yang memalingkannya. Selain itu, pendekatan ini menunjukkan sikap kehati-hatian yang tinggi dalam menjaga kesucian wudhu, sehingga ibadah yang dilakukan lebih terjamin keabsahannya.</w:t>
      </w:r>
      <w:r w:rsidR="00690C6E">
        <w:rPr>
          <w:rFonts w:ascii="Times New Roman" w:hAnsi="Times New Roman" w:cs="Times New Roman"/>
        </w:rPr>
        <w:fldChar w:fldCharType="begin" w:fldLock="1"/>
      </w:r>
      <w:r w:rsidR="00690C6E">
        <w:rPr>
          <w:rFonts w:ascii="Times New Roman" w:hAnsi="Times New Roman" w:cs="Times New Roman"/>
        </w:rPr>
        <w:instrText>ADDIN CSL_CITATION {"citationItems":[{"id":"ITEM-1","itemData":{"author":[{"dropping-particle":"","family":"Nasution","given":"A.Y.","non-dropping-particle":"","parse-names":false,"suffix":""}],"id":"ITEM-1","issued":{"date-parts":[["0"]]},"title":"Analisis Zikir dan Doa Bersama: Perspektif Empat Madzhab","type":"article-journal"},"uris":["http://www.mendeley.com/documents/?uuid=1e1cc922-1d35-4f18-8ca2-3de7dff1e465"]}],"mendeley":{"formattedCitation":"(Nasution, n.d.)","plainTextFormattedCitation":"(Nasution, n.d.)","previouslyFormattedCitation":"(Nasution, n.d.)"},"properties":{"noteIndex":0},"schema":"https://github.com/citation-style-language/schema/raw/master/csl-citation.json"}</w:instrText>
      </w:r>
      <w:r w:rsidR="00690C6E">
        <w:rPr>
          <w:rFonts w:ascii="Times New Roman" w:hAnsi="Times New Roman" w:cs="Times New Roman"/>
        </w:rPr>
        <w:fldChar w:fldCharType="separate"/>
      </w:r>
      <w:r w:rsidR="00690C6E" w:rsidRPr="00690C6E">
        <w:rPr>
          <w:rFonts w:ascii="Times New Roman" w:hAnsi="Times New Roman" w:cs="Times New Roman"/>
          <w:noProof/>
        </w:rPr>
        <w:t>(Nasution, n.d.)</w:t>
      </w:r>
      <w:r w:rsidR="00690C6E">
        <w:rPr>
          <w:rFonts w:ascii="Times New Roman" w:hAnsi="Times New Roman" w:cs="Times New Roman"/>
        </w:rPr>
        <w:fldChar w:fldCharType="end"/>
      </w:r>
    </w:p>
    <w:p w14:paraId="75221CED" w14:textId="73FBD11E" w:rsidR="00416A3B" w:rsidRPr="00416A3B" w:rsidRDefault="00416A3B" w:rsidP="00416A3B">
      <w:pPr>
        <w:pStyle w:val="ListParagraph"/>
        <w:numPr>
          <w:ilvl w:val="0"/>
          <w:numId w:val="2"/>
        </w:numPr>
        <w:jc w:val="both"/>
        <w:rPr>
          <w:rFonts w:ascii="Times New Roman" w:hAnsi="Times New Roman" w:cs="Times New Roman"/>
        </w:rPr>
      </w:pPr>
      <w:r w:rsidRPr="00416A3B">
        <w:rPr>
          <w:rFonts w:ascii="Times New Roman" w:hAnsi="Times New Roman" w:cs="Times New Roman"/>
        </w:rPr>
        <w:t>Kekuatan pendapat kedua</w:t>
      </w:r>
    </w:p>
    <w:p w14:paraId="38BCA5D0" w14:textId="1D7214C1" w:rsidR="00416A3B" w:rsidRPr="00416A3B" w:rsidRDefault="00416A3B" w:rsidP="00416A3B">
      <w:pPr>
        <w:pStyle w:val="ListParagraph"/>
        <w:jc w:val="both"/>
        <w:rPr>
          <w:rFonts w:ascii="Times New Roman" w:hAnsi="Times New Roman" w:cs="Times New Roman"/>
        </w:rPr>
      </w:pPr>
      <w:r w:rsidRPr="00416A3B">
        <w:rPr>
          <w:rFonts w:ascii="Times New Roman" w:hAnsi="Times New Roman" w:cs="Times New Roman"/>
        </w:rPr>
        <w:t>Pendapat kedua memiliki kekuatan karena tidak hanya berpegang pada Al-Qur’an, tetapi juga menggabungkannya dengan hadis Nabi sebagai penjelas. Hal ini membuat pemahaman mereka lebih menyeluruh dan kontekstual. Selain itu, pendapat ini didukung oleh praktik langsung Nabi, sehingga memiliki dasar yang kuat dalam sunnah. Dari sisi penerapan, pendapat ini juga lebih fleksibel dan memudahkan umat dalam kehidupan sehari-hari.</w:t>
      </w:r>
      <w:r w:rsidR="00690C6E">
        <w:rPr>
          <w:rFonts w:ascii="Times New Roman" w:hAnsi="Times New Roman" w:cs="Times New Roman"/>
        </w:rPr>
        <w:fldChar w:fldCharType="begin" w:fldLock="1"/>
      </w:r>
      <w:r w:rsidR="00690C6E">
        <w:rPr>
          <w:rFonts w:ascii="Times New Roman" w:hAnsi="Times New Roman" w:cs="Times New Roman"/>
        </w:rPr>
        <w:instrText>ADDIN CSL_CITATION {"citationItems":[{"id":"ITEM-1","itemData":{"author":[{"dropping-particle":"","family":"Nasution","given":"A.Y.","non-dropping-particle":"","parse-names":false,"suffix":""}],"id":"ITEM-1","issued":{"date-parts":[["0"]]},"title":"Analisis Zikir dan Doa Bersama: Perspektif Empat Madzhab","type":"article-journal"},"uris":["http://www.mendeley.com/documents/?uuid=1e1cc922-1d35-4f18-8ca2-3de7dff1e465"]}],"mendeley":{"formattedCitation":"(Nasution, n.d.)","plainTextFormattedCitation":"(Nasution, n.d.)","previouslyFormattedCitation":"(Nasution, n.d.)"},"properties":{"noteIndex":0},"schema":"https://github.com/citation-style-language/schema/raw/master/csl-citation.json"}</w:instrText>
      </w:r>
      <w:r w:rsidR="00690C6E">
        <w:rPr>
          <w:rFonts w:ascii="Times New Roman" w:hAnsi="Times New Roman" w:cs="Times New Roman"/>
        </w:rPr>
        <w:fldChar w:fldCharType="separate"/>
      </w:r>
      <w:r w:rsidR="00690C6E" w:rsidRPr="00690C6E">
        <w:rPr>
          <w:rFonts w:ascii="Times New Roman" w:hAnsi="Times New Roman" w:cs="Times New Roman"/>
          <w:noProof/>
        </w:rPr>
        <w:t>(Nasution, n.d.)</w:t>
      </w:r>
      <w:r w:rsidR="00690C6E">
        <w:rPr>
          <w:rFonts w:ascii="Times New Roman" w:hAnsi="Times New Roman" w:cs="Times New Roman"/>
        </w:rPr>
        <w:fldChar w:fldCharType="end"/>
      </w:r>
    </w:p>
    <w:p w14:paraId="3831DDD3" w14:textId="293939D9" w:rsidR="00416A3B" w:rsidRPr="00416A3B" w:rsidRDefault="00416A3B" w:rsidP="00416A3B">
      <w:pPr>
        <w:pStyle w:val="ListParagraph"/>
        <w:numPr>
          <w:ilvl w:val="0"/>
          <w:numId w:val="2"/>
        </w:numPr>
        <w:jc w:val="both"/>
        <w:rPr>
          <w:rFonts w:ascii="Times New Roman" w:hAnsi="Times New Roman" w:cs="Times New Roman"/>
        </w:rPr>
      </w:pPr>
      <w:r w:rsidRPr="00416A3B">
        <w:rPr>
          <w:rFonts w:ascii="Times New Roman" w:hAnsi="Times New Roman" w:cs="Times New Roman"/>
        </w:rPr>
        <w:t>Persamaan kedua pendapat</w:t>
      </w:r>
    </w:p>
    <w:p w14:paraId="661DD518" w14:textId="07B81D55" w:rsidR="00416A3B" w:rsidRDefault="00416A3B" w:rsidP="00416A3B">
      <w:pPr>
        <w:pStyle w:val="ListParagraph"/>
        <w:jc w:val="both"/>
        <w:rPr>
          <w:rFonts w:ascii="Times New Roman" w:hAnsi="Times New Roman" w:cs="Times New Roman"/>
        </w:rPr>
      </w:pPr>
      <w:r w:rsidRPr="00416A3B">
        <w:rPr>
          <w:rFonts w:ascii="Times New Roman" w:hAnsi="Times New Roman" w:cs="Times New Roman"/>
        </w:rPr>
        <w:t>Meskipun berbeda kesimpulan, kedua pendapat tersebut memiliki banyak persamaan. Keduanya sama-sama bersumber dari Al-Qur’an dan hadis sebagai dasar utama hukum Islam. Keduanya juga menggunakan ijtihad dalam memahami dalil, sehingga perbedaan yang muncul merupakan hasil pemikiran ilmiah para ulama. Selain itu, tujuan keduanya tetap sama, yaitu menjaga kesucian dalam ibadah. Perbedaan ini juga diakui dalam fiqih Islam sebagai bagian dari khazanah keilmuan yang menunjukkan keluasan dan keluwesan hukum Islam.</w:t>
      </w:r>
      <w:r w:rsidR="006A7DCF">
        <w:rPr>
          <w:rFonts w:ascii="Times New Roman" w:hAnsi="Times New Roman" w:cs="Times New Roman"/>
        </w:rPr>
        <w:fldChar w:fldCharType="begin" w:fldLock="1"/>
      </w:r>
      <w:r w:rsidR="002344B8">
        <w:rPr>
          <w:rFonts w:ascii="Times New Roman" w:hAnsi="Times New Roman" w:cs="Times New Roman"/>
        </w:rPr>
        <w:instrText>ADDIN CSL_CITATION {"citationItems":[{"id":"ITEM-1","itemData":{"author":[{"dropping-particle":"","family":"Amalia","given":"Najma","non-dropping-particle":"","parse-names":false,"suffix":""},{"dropping-particle":"","family":"Hanafiah","given":"M","non-dropping-particle":"","parse-names":false,"suffix":""},{"dropping-particle":"","family":"Islam","given":"Universitas","non-dropping-particle":"","parse-names":false,"suffix":""},{"dropping-particle":"","family":"Antasari","given":"Negeri","non-dropping-particle":"","parse-names":false,"suffix":""}],"id":"ITEM-1","issued":{"date-parts":[["2025"]]},"page":"1377-1390","title":"Hukum menyentuh kemaluan setelah berwudhu menurut mazhab hanafi dan mazhab hanbali","type":"article-journal"},"uris":["http://www.mendeley.com/documents/?uuid=c0e9ef3e-2603-4758-bb5b-7cab134bb6e8"]}],"mendeley":{"formattedCitation":"(Amalia et al., 2025)","plainTextFormattedCitation":"(Amalia et al., 2025)","previouslyFormattedCitation":"(Amalia et al., 2025)"},"properties":{"noteIndex":0},"schema":"https://github.com/citation-style-language/schema/raw/master/csl-citation.json"}</w:instrText>
      </w:r>
      <w:r w:rsidR="006A7DCF">
        <w:rPr>
          <w:rFonts w:ascii="Times New Roman" w:hAnsi="Times New Roman" w:cs="Times New Roman"/>
        </w:rPr>
        <w:fldChar w:fldCharType="separate"/>
      </w:r>
      <w:r w:rsidR="006A7DCF" w:rsidRPr="006A7DCF">
        <w:rPr>
          <w:rFonts w:ascii="Times New Roman" w:hAnsi="Times New Roman" w:cs="Times New Roman"/>
          <w:noProof/>
        </w:rPr>
        <w:t>(Amalia et al., 2025)</w:t>
      </w:r>
      <w:r w:rsidR="006A7DCF">
        <w:rPr>
          <w:rFonts w:ascii="Times New Roman" w:hAnsi="Times New Roman" w:cs="Times New Roman"/>
        </w:rPr>
        <w:fldChar w:fldCharType="end"/>
      </w:r>
    </w:p>
    <w:p w14:paraId="7C28EE2A" w14:textId="1ACCBF36" w:rsidR="00416A3B" w:rsidRDefault="005972FF" w:rsidP="00416A3B">
      <w:pPr>
        <w:pStyle w:val="ListParagraph"/>
        <w:numPr>
          <w:ilvl w:val="0"/>
          <w:numId w:val="2"/>
        </w:numPr>
        <w:jc w:val="both"/>
        <w:rPr>
          <w:rFonts w:ascii="Times New Roman" w:hAnsi="Times New Roman" w:cs="Times New Roman"/>
        </w:rPr>
      </w:pPr>
      <w:r w:rsidRPr="00416A3B">
        <w:rPr>
          <w:rFonts w:ascii="Times New Roman" w:hAnsi="Times New Roman" w:cs="Times New Roman"/>
        </w:rPr>
        <w:t>siapa saja ulama yang mengatakan itu membatalkan?</w:t>
      </w:r>
      <w:r w:rsidR="004945A9" w:rsidRPr="00416A3B">
        <w:rPr>
          <w:rFonts w:ascii="Times New Roman" w:hAnsi="Times New Roman" w:cs="Times New Roman"/>
        </w:rPr>
        <w:t>imam syafi’I,imam ahmad</w:t>
      </w:r>
      <w:r w:rsidR="0055791E">
        <w:rPr>
          <w:rFonts w:ascii="Times New Roman" w:hAnsi="Times New Roman" w:cs="Times New Roman"/>
        </w:rPr>
        <w:t>,ma</w:t>
      </w:r>
      <w:r w:rsidR="00841204">
        <w:rPr>
          <w:rFonts w:ascii="Times New Roman" w:hAnsi="Times New Roman" w:cs="Times New Roman"/>
        </w:rPr>
        <w:t>zdzab hanbali</w:t>
      </w:r>
      <w:r w:rsidR="00B85B19">
        <w:rPr>
          <w:rFonts w:ascii="Times New Roman" w:hAnsi="Times New Roman" w:cs="Times New Roman"/>
        </w:rPr>
        <w:t>,</w:t>
      </w:r>
      <w:r w:rsidR="0078656C">
        <w:rPr>
          <w:rFonts w:ascii="Times New Roman" w:hAnsi="Times New Roman" w:cs="Times New Roman"/>
        </w:rPr>
        <w:fldChar w:fldCharType="begin" w:fldLock="1"/>
      </w:r>
      <w:r w:rsidR="0078656C">
        <w:rPr>
          <w:rFonts w:ascii="Times New Roman" w:hAnsi="Times New Roman" w:cs="Times New Roman"/>
        </w:rPr>
        <w:instrText>ADDIN CSL_CITATION {"citationItems":[{"id":"ITEM-1","itemData":{"DOI":"10.36701/qiblah.v4i3.2129","author":[{"dropping-particle":"","family":"Saat","given":"Kesucian","non-dropping-particle":"","parse-names":false,"suffix":""},{"dropping-particle":"","family":"Perspektif","given":"Tawaf","non-dropping-particle":"","parse-names":false,"suffix":""},{"dropping-particle":"","family":"Ibadah","given":"Fikih","non-dropping-particle":"","parse-names":false,"suffix":""}],"id":"ITEM-1","issue":"3","issued":{"date-parts":[["2025"]]},"page":"320-342","title":"AL-QIBLAH : Bersentuhan dengan Lawan Jenis sebagai Pembatal","type":"article-journal","volume":"4"},"uris":["http://www.mendeley.com/documents/?uuid=60bc75d9-e18f-46b4-972c-8e968117ad3b"]}],"mendeley":{"formattedCitation":"(Saat et al., 2025)","plainTextFormattedCitation":"(Saat et al., 2025)","previouslyFormattedCitation":"(Saat et al., 2025)"},"properties":{"noteIndex":0},"schema":"https://github.com/citation-style-language/schema/raw/master/csl-citation.json"}</w:instrText>
      </w:r>
      <w:r w:rsidR="0078656C">
        <w:rPr>
          <w:rFonts w:ascii="Times New Roman" w:hAnsi="Times New Roman" w:cs="Times New Roman"/>
        </w:rPr>
        <w:fldChar w:fldCharType="separate"/>
      </w:r>
      <w:r w:rsidR="0078656C" w:rsidRPr="0078656C">
        <w:rPr>
          <w:rFonts w:ascii="Times New Roman" w:hAnsi="Times New Roman" w:cs="Times New Roman"/>
          <w:noProof/>
        </w:rPr>
        <w:t>(Saat et al., 2025)</w:t>
      </w:r>
      <w:r w:rsidR="0078656C">
        <w:rPr>
          <w:rFonts w:ascii="Times New Roman" w:hAnsi="Times New Roman" w:cs="Times New Roman"/>
        </w:rPr>
        <w:fldChar w:fldCharType="end"/>
      </w:r>
    </w:p>
    <w:p w14:paraId="5176A51C" w14:textId="50401FAD" w:rsidR="00416A3B" w:rsidRDefault="005972FF" w:rsidP="00416A3B">
      <w:pPr>
        <w:pStyle w:val="ListParagraph"/>
        <w:numPr>
          <w:ilvl w:val="0"/>
          <w:numId w:val="2"/>
        </w:numPr>
        <w:jc w:val="both"/>
        <w:rPr>
          <w:rFonts w:ascii="Times New Roman" w:hAnsi="Times New Roman" w:cs="Times New Roman"/>
        </w:rPr>
      </w:pPr>
      <w:r w:rsidRPr="00416A3B">
        <w:rPr>
          <w:rFonts w:ascii="Times New Roman" w:hAnsi="Times New Roman" w:cs="Times New Roman"/>
        </w:rPr>
        <w:t>siapa saja ulama yang mengatakan bahwa itu tidak membatalkan?imam abu hanifah</w:t>
      </w:r>
      <w:r w:rsidR="004945A9" w:rsidRPr="00416A3B">
        <w:rPr>
          <w:rFonts w:ascii="Times New Roman" w:hAnsi="Times New Roman" w:cs="Times New Roman"/>
        </w:rPr>
        <w:t>,imam malik</w:t>
      </w:r>
      <w:r w:rsidR="0078656C">
        <w:rPr>
          <w:rFonts w:ascii="Times New Roman" w:hAnsi="Times New Roman" w:cs="Times New Roman"/>
        </w:rPr>
        <w:fldChar w:fldCharType="begin" w:fldLock="1"/>
      </w:r>
      <w:r w:rsidR="0078656C">
        <w:rPr>
          <w:rFonts w:ascii="Times New Roman" w:hAnsi="Times New Roman" w:cs="Times New Roman"/>
        </w:rPr>
        <w:instrText>ADDIN CSL_CITATION {"citationItems":[{"id":"ITEM-1","itemData":{"DOI":"10.36701/qiblah.v4i3.2129","author":[{"dropping-particle":"","family":"Saat","given":"Kesucian","non-dropping-particle":"","parse-names":false,"suffix":""},{"dropping-particle":"","family":"Perspektif","given":"Tawaf","non-dropping-particle":"","parse-names":false,"suffix":""},{"dropping-particle":"","family":"Ibadah","given":"Fikih","non-dropping-particle":"","parse-names":false,"suffix":""}],"id":"ITEM-1","issue":"3","issued":{"date-parts":[["2025"]]},"page":"320-342","title":"AL-QIBLAH : Bersentuhan dengan Lawan Jenis sebagai Pembatal","type":"article-journal","volume":"4"},"uris":["http://www.mendeley.com/documents/?uuid=60bc75d9-e18f-46b4-972c-8e968117ad3b"]}],"mendeley":{"formattedCitation":"(Saat et al., 2025)","plainTextFormattedCitation":"(Saat et al., 2025)","previouslyFormattedCitation":"(Saat et al., 2025)"},"properties":{"noteIndex":0},"schema":"https://github.com/citation-style-language/schema/raw/master/csl-citation.json"}</w:instrText>
      </w:r>
      <w:r w:rsidR="0078656C">
        <w:rPr>
          <w:rFonts w:ascii="Times New Roman" w:hAnsi="Times New Roman" w:cs="Times New Roman"/>
        </w:rPr>
        <w:fldChar w:fldCharType="separate"/>
      </w:r>
      <w:r w:rsidR="0078656C" w:rsidRPr="0078656C">
        <w:rPr>
          <w:rFonts w:ascii="Times New Roman" w:hAnsi="Times New Roman" w:cs="Times New Roman"/>
          <w:noProof/>
        </w:rPr>
        <w:t>(Saat et al., 2025)</w:t>
      </w:r>
      <w:r w:rsidR="0078656C">
        <w:rPr>
          <w:rFonts w:ascii="Times New Roman" w:hAnsi="Times New Roman" w:cs="Times New Roman"/>
        </w:rPr>
        <w:fldChar w:fldCharType="end"/>
      </w:r>
    </w:p>
    <w:p w14:paraId="47B9E02B" w14:textId="46C6BE12" w:rsidR="005972FF" w:rsidRDefault="005972FF" w:rsidP="00416A3B">
      <w:pPr>
        <w:pStyle w:val="ListParagraph"/>
        <w:numPr>
          <w:ilvl w:val="0"/>
          <w:numId w:val="2"/>
        </w:numPr>
        <w:jc w:val="both"/>
        <w:rPr>
          <w:rFonts w:ascii="Times New Roman" w:hAnsi="Times New Roman" w:cs="Times New Roman"/>
        </w:rPr>
      </w:pPr>
      <w:r w:rsidRPr="00416A3B">
        <w:rPr>
          <w:rFonts w:ascii="Times New Roman" w:hAnsi="Times New Roman" w:cs="Times New Roman"/>
        </w:rPr>
        <w:t>Analisis pendapat pribadi berdasarkan data nomor 1 sampai nomor 16!</w:t>
      </w:r>
    </w:p>
    <w:p w14:paraId="222180B4" w14:textId="66092DC3" w:rsidR="00416A3B" w:rsidRPr="00416A3B" w:rsidRDefault="00416A3B" w:rsidP="00416A3B">
      <w:pPr>
        <w:pStyle w:val="ListParagraph"/>
        <w:jc w:val="both"/>
        <w:rPr>
          <w:rFonts w:ascii="Times New Roman" w:hAnsi="Times New Roman" w:cs="Times New Roman"/>
        </w:rPr>
      </w:pPr>
      <w:r w:rsidRPr="00416A3B">
        <w:rPr>
          <w:rFonts w:ascii="Times New Roman" w:hAnsi="Times New Roman" w:cs="Times New Roman"/>
        </w:rPr>
        <w:t>Menurut saya, menyentuh lawan jenis membatalkan wudhu. Hal ini karena saya lebih cenderung mengikuti pemahaman ulama yang mengambil makna zahir ayat Al-Qur’an, yaitu bahwa “menyentuh perempuan” berarti sentuhan fisik secara langsung. Selain itu, pendapat ini lebih hati-hati dalam menjaga kesucian wudhu, sehingga ibadah yang dilakukan lebih terjamin sah. Meskipun ada hadis dari Aisyah yang menunjukkan sebaliknya, saya tetap memilih pendapat yang lebih aman dalam beribadah.</w:t>
      </w:r>
    </w:p>
    <w:p w14:paraId="40D9BA4C" w14:textId="77777777" w:rsidR="005972FF" w:rsidRPr="005972FF" w:rsidRDefault="005972FF" w:rsidP="005972FF">
      <w:pPr>
        <w:rPr>
          <w:rFonts w:ascii="Times New Roman" w:hAnsi="Times New Roman" w:cs="Times New Roman"/>
        </w:rPr>
      </w:pPr>
    </w:p>
    <w:p w14:paraId="2510B53D" w14:textId="1A325C72" w:rsidR="00220973" w:rsidRPr="005972FF" w:rsidRDefault="00220973" w:rsidP="005972FF">
      <w:pPr>
        <w:rPr>
          <w:rFonts w:ascii="Times New Roman" w:hAnsi="Times New Roman" w:cs="Times New Roman"/>
        </w:rPr>
      </w:pPr>
    </w:p>
    <w:sectPr w:rsidR="00220973" w:rsidRPr="005972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2DA6"/>
    <w:multiLevelType w:val="hybridMultilevel"/>
    <w:tmpl w:val="B6BA6D6E"/>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 w15:restartNumberingAfterBreak="0">
    <w:nsid w:val="3C0F3EEC"/>
    <w:multiLevelType w:val="hybridMultilevel"/>
    <w:tmpl w:val="1AF47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F57C0B"/>
    <w:multiLevelType w:val="hybridMultilevel"/>
    <w:tmpl w:val="AC98E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3624050">
    <w:abstractNumId w:val="1"/>
  </w:num>
  <w:num w:numId="2" w16cid:durableId="1340497682">
    <w:abstractNumId w:val="2"/>
  </w:num>
  <w:num w:numId="3" w16cid:durableId="532577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2FF"/>
    <w:rsid w:val="000C616C"/>
    <w:rsid w:val="000F7B5B"/>
    <w:rsid w:val="001433E8"/>
    <w:rsid w:val="00161DA0"/>
    <w:rsid w:val="00220973"/>
    <w:rsid w:val="002344B8"/>
    <w:rsid w:val="002D4623"/>
    <w:rsid w:val="00344FA7"/>
    <w:rsid w:val="00397F70"/>
    <w:rsid w:val="00416A3B"/>
    <w:rsid w:val="004945A9"/>
    <w:rsid w:val="0055791E"/>
    <w:rsid w:val="005747BF"/>
    <w:rsid w:val="005972FF"/>
    <w:rsid w:val="005C1E79"/>
    <w:rsid w:val="00612210"/>
    <w:rsid w:val="00631CE2"/>
    <w:rsid w:val="00680CCC"/>
    <w:rsid w:val="00690C6E"/>
    <w:rsid w:val="006A7DCF"/>
    <w:rsid w:val="006C5C27"/>
    <w:rsid w:val="0078656C"/>
    <w:rsid w:val="00841204"/>
    <w:rsid w:val="00871B63"/>
    <w:rsid w:val="0096607E"/>
    <w:rsid w:val="00B85B19"/>
    <w:rsid w:val="00C22E1A"/>
    <w:rsid w:val="00DE716A"/>
    <w:rsid w:val="00E35D88"/>
    <w:rsid w:val="00EB22E6"/>
    <w:rsid w:val="00F95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5C109"/>
  <w15:chartTrackingRefBased/>
  <w15:docId w15:val="{338B3078-F885-4DA4-826D-9DBC2BCFF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2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72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72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72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72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7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2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72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72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72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72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7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2FF"/>
    <w:rPr>
      <w:rFonts w:eastAsiaTheme="majorEastAsia" w:cstheme="majorBidi"/>
      <w:color w:val="272727" w:themeColor="text1" w:themeTint="D8"/>
    </w:rPr>
  </w:style>
  <w:style w:type="paragraph" w:styleId="Title">
    <w:name w:val="Title"/>
    <w:basedOn w:val="Normal"/>
    <w:next w:val="Normal"/>
    <w:link w:val="TitleChar"/>
    <w:uiPriority w:val="10"/>
    <w:qFormat/>
    <w:rsid w:val="00597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2FF"/>
    <w:pPr>
      <w:spacing w:before="160"/>
      <w:jc w:val="center"/>
    </w:pPr>
    <w:rPr>
      <w:i/>
      <w:iCs/>
      <w:color w:val="404040" w:themeColor="text1" w:themeTint="BF"/>
    </w:rPr>
  </w:style>
  <w:style w:type="character" w:customStyle="1" w:styleId="QuoteChar">
    <w:name w:val="Quote Char"/>
    <w:basedOn w:val="DefaultParagraphFont"/>
    <w:link w:val="Quote"/>
    <w:uiPriority w:val="29"/>
    <w:rsid w:val="005972FF"/>
    <w:rPr>
      <w:i/>
      <w:iCs/>
      <w:color w:val="404040" w:themeColor="text1" w:themeTint="BF"/>
    </w:rPr>
  </w:style>
  <w:style w:type="paragraph" w:styleId="ListParagraph">
    <w:name w:val="List Paragraph"/>
    <w:basedOn w:val="Normal"/>
    <w:uiPriority w:val="34"/>
    <w:qFormat/>
    <w:rsid w:val="005972FF"/>
    <w:pPr>
      <w:ind w:left="720"/>
      <w:contextualSpacing/>
    </w:pPr>
  </w:style>
  <w:style w:type="character" w:styleId="IntenseEmphasis">
    <w:name w:val="Intense Emphasis"/>
    <w:basedOn w:val="DefaultParagraphFont"/>
    <w:uiPriority w:val="21"/>
    <w:qFormat/>
    <w:rsid w:val="005972FF"/>
    <w:rPr>
      <w:i/>
      <w:iCs/>
      <w:color w:val="2F5496" w:themeColor="accent1" w:themeShade="BF"/>
    </w:rPr>
  </w:style>
  <w:style w:type="paragraph" w:styleId="IntenseQuote">
    <w:name w:val="Intense Quote"/>
    <w:basedOn w:val="Normal"/>
    <w:next w:val="Normal"/>
    <w:link w:val="IntenseQuoteChar"/>
    <w:uiPriority w:val="30"/>
    <w:qFormat/>
    <w:rsid w:val="005972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72FF"/>
    <w:rPr>
      <w:i/>
      <w:iCs/>
      <w:color w:val="2F5496" w:themeColor="accent1" w:themeShade="BF"/>
    </w:rPr>
  </w:style>
  <w:style w:type="character" w:styleId="IntenseReference">
    <w:name w:val="Intense Reference"/>
    <w:basedOn w:val="DefaultParagraphFont"/>
    <w:uiPriority w:val="32"/>
    <w:qFormat/>
    <w:rsid w:val="005972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A978B3-90A1-4A3C-B828-02351FB82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3333</Words>
  <Characters>19000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kinantiimaniar@gmail.com</dc:creator>
  <cp:keywords/>
  <dc:description/>
  <cp:lastModifiedBy>kinantiimaniar@gmail.com</cp:lastModifiedBy>
  <cp:revision>2</cp:revision>
  <dcterms:created xsi:type="dcterms:W3CDTF">2026-04-24T13:27:00Z</dcterms:created>
  <dcterms:modified xsi:type="dcterms:W3CDTF">2026-04-24T13:27:00Z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29f613b2-4724-3c8e-bbab-d595a26b3515</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http://www.zotero.org/styles/chicago-note-bibliography</vt:lpwstr>
  </property>
  <property fmtid="{D5CDD505-2E9C-101B-9397-08002B2CF9AE}" pid="14" name="Mendeley Recent Style Name 4_1">
    <vt:lpwstr>Chicago Manual of Style 17th edition (note)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