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E2C0A" w14:textId="75CAA842" w:rsidR="00AE6D3B" w:rsidRDefault="00AE6D3B" w:rsidP="00AE6D3B">
      <w:pPr>
        <w:pStyle w:val="DaftarParagraf"/>
        <w:numPr>
          <w:ilvl w:val="0"/>
          <w:numId w:val="1"/>
        </w:numPr>
      </w:pPr>
      <w:r>
        <w:t>Masalah</w:t>
      </w:r>
    </w:p>
    <w:p w14:paraId="656C491B" w14:textId="77777777" w:rsidR="00AE6D3B" w:rsidRDefault="00AE6D3B">
      <w:r>
        <w:t xml:space="preserve">Hukum menyentuh lawan jenis (bukan mahram) apakah membatalkan wudlu atau tidak. </w:t>
      </w:r>
    </w:p>
    <w:p w14:paraId="063D89F9" w14:textId="357B5C5A" w:rsidR="00AE6D3B" w:rsidRDefault="00AE6D3B" w:rsidP="00AE6D3B">
      <w:pPr>
        <w:pStyle w:val="DaftarParagraf"/>
        <w:numPr>
          <w:ilvl w:val="0"/>
          <w:numId w:val="1"/>
        </w:numPr>
      </w:pPr>
      <w:r>
        <w:t>Pendapat Pertama (Membatalkan secara Mutlak)</w:t>
      </w:r>
    </w:p>
    <w:p w14:paraId="01E2BDEC" w14:textId="77777777" w:rsidR="00AE6D3B" w:rsidRDefault="00AE6D3B">
      <w:r>
        <w:t xml:space="preserve">Pendapat ini menyatakan bahwa persentuhan kulit antara laki-laki dan perempuan yang sudah dewasa dan bukan mahram membatalkan wudlu secara mutlak, baik dengan syahwat maupun tidak [1]. </w:t>
      </w:r>
    </w:p>
    <w:p w14:paraId="729CBD81" w14:textId="4B776FCA" w:rsidR="00AE6D3B" w:rsidRDefault="00AE6D3B" w:rsidP="00AE6D3B">
      <w:pPr>
        <w:pStyle w:val="DaftarParagraf"/>
        <w:numPr>
          <w:ilvl w:val="0"/>
          <w:numId w:val="1"/>
        </w:numPr>
      </w:pPr>
      <w:r>
        <w:t>Pendapat Kedua (Tidak Membatalkan secara Mutlak)</w:t>
      </w:r>
    </w:p>
    <w:p w14:paraId="78C0E963" w14:textId="31EC36C6" w:rsidR="00AE6D3B" w:rsidRDefault="00AE6D3B">
      <w:r>
        <w:t>Pendapat ini menyatakan bahwa persentuhan kulit antara laki-laki dan perempuan tidak membatalkan wudlu sama sekali, kecuali jika keluar madzi atau mani (akibat syahwat) [2].</w:t>
      </w:r>
    </w:p>
    <w:p w14:paraId="1BC67002" w14:textId="192D6952" w:rsidR="00AE6D3B" w:rsidRDefault="00AE6D3B" w:rsidP="00AE6D3B">
      <w:pPr>
        <w:pStyle w:val="DaftarParagraf"/>
        <w:numPr>
          <w:ilvl w:val="0"/>
          <w:numId w:val="1"/>
        </w:numPr>
      </w:pPr>
      <w:r>
        <w:t>Dalil Pendapat Pertama</w:t>
      </w:r>
    </w:p>
    <w:p w14:paraId="26C3BC7E" w14:textId="2410E686" w:rsidR="00AE6D3B" w:rsidRDefault="00AE6D3B">
      <w:r>
        <w:t>Bersandar pada firman Allah SWT dalam Surah Al-Ma’idah ayat 6:</w:t>
      </w:r>
    </w:p>
    <w:p w14:paraId="3E22F75A" w14:textId="1DB9DD71" w:rsidR="00AE6D3B" w:rsidRDefault="00AE6D3B">
      <w:r>
        <w:t>“...aw laamastumun-nisaa’...” (atau kamu menyentuh perempuan) [1].</w:t>
      </w:r>
    </w:p>
    <w:p w14:paraId="5E781FC5" w14:textId="7E710A3E" w:rsidR="00AE6D3B" w:rsidRDefault="00AE6D3B" w:rsidP="00AE6D3B">
      <w:pPr>
        <w:pStyle w:val="DaftarParagraf"/>
        <w:numPr>
          <w:ilvl w:val="0"/>
          <w:numId w:val="1"/>
        </w:numPr>
      </w:pPr>
      <w:r>
        <w:t>Dalil Pendapat Kedua</w:t>
      </w:r>
    </w:p>
    <w:p w14:paraId="4167ADDF" w14:textId="77777777" w:rsidR="00AE6D3B" w:rsidRDefault="00AE6D3B">
      <w:r>
        <w:t>Bersandar pada hadis Aisyah RA yang menyatakan:</w:t>
      </w:r>
    </w:p>
    <w:p w14:paraId="41860DAB" w14:textId="61482EF1" w:rsidR="00AE6D3B" w:rsidRDefault="00AE6D3B">
      <w:r>
        <w:t>“Rasulullah SAW pernah mencium salah seorang istrinya kemudian beliau berangkat shalat tanpa berwudlu lagi.” (HR. Abu Dawud dan Tirmidzi) [2].</w:t>
      </w:r>
    </w:p>
    <w:p w14:paraId="4EC721CD" w14:textId="293DB76F" w:rsidR="00AE6D3B" w:rsidRDefault="00AE6D3B" w:rsidP="00AE6D3B">
      <w:pPr>
        <w:pStyle w:val="DaftarParagraf"/>
        <w:numPr>
          <w:ilvl w:val="0"/>
          <w:numId w:val="1"/>
        </w:numPr>
      </w:pPr>
      <w:r>
        <w:t>Metode Pendapat Pertama</w:t>
      </w:r>
    </w:p>
    <w:p w14:paraId="486896A8" w14:textId="765AE323" w:rsidR="00AE6D3B" w:rsidRDefault="00AE6D3B">
      <w:r>
        <w:t>Menggunakan metode Makna Hakiki (Literal). Mereka mengartikan kata “laamastum” dalam Al-Qur’an sebagai “menyentuh dengan kulit” secara fisik [3].</w:t>
      </w:r>
    </w:p>
    <w:p w14:paraId="6F68750F" w14:textId="17C8AA88" w:rsidR="00AE6D3B" w:rsidRDefault="00AE6D3B" w:rsidP="00AE6D3B">
      <w:pPr>
        <w:pStyle w:val="DaftarParagraf"/>
        <w:numPr>
          <w:ilvl w:val="0"/>
          <w:numId w:val="1"/>
        </w:numPr>
      </w:pPr>
      <w:r>
        <w:t>Metode Pendapat Kedua</w:t>
      </w:r>
    </w:p>
    <w:p w14:paraId="155FABF9" w14:textId="0870F67E" w:rsidR="00AE6D3B" w:rsidRDefault="00AE6D3B">
      <w:r>
        <w:t>Menggunakan metode Majazi (Metafora) dan Jama’ (Sinkronisasi). Mereka mengartikan kata “laamastum” sebagai kiasan untuk hubungan suami-istri (jima’) dan menggunakan hadis Nabi sebagai penjelas (bayan) bahwa sentuhan fisik biasa tidak membatalkan [4].</w:t>
      </w:r>
    </w:p>
    <w:p w14:paraId="12553C1D" w14:textId="70ACE396" w:rsidR="00AE6D3B" w:rsidRDefault="00AE6D3B" w:rsidP="00AE6D3B">
      <w:pPr>
        <w:pStyle w:val="DaftarParagraf"/>
        <w:numPr>
          <w:ilvl w:val="0"/>
          <w:numId w:val="1"/>
        </w:numPr>
      </w:pPr>
      <w:r>
        <w:t>Alasan Ulama Pertama (Mengapa Membatalkan)</w:t>
      </w:r>
    </w:p>
    <w:p w14:paraId="6AEFD10A" w14:textId="11FDAFDC" w:rsidR="00AE6D3B" w:rsidRDefault="00AE6D3B">
      <w:r>
        <w:t>Karena mereka berpegang pada keumuman teks ayat Al-Qur’an. Selama terjadi kontak kulit (tanpa penghalang), maka syarat batal terpenuhi sesuai bunyi tekstual ayat tersebut [1].</w:t>
      </w:r>
    </w:p>
    <w:p w14:paraId="0D3368CB" w14:textId="4C504E82" w:rsidR="00AE6D3B" w:rsidRDefault="00AE6D3B" w:rsidP="00AE6D3B">
      <w:pPr>
        <w:pStyle w:val="DaftarParagraf"/>
        <w:numPr>
          <w:ilvl w:val="0"/>
          <w:numId w:val="1"/>
        </w:numPr>
      </w:pPr>
      <w:r>
        <w:t>Alasan Ulama Kedua (Mengapa Tidak Membatalkan)</w:t>
      </w:r>
    </w:p>
    <w:p w14:paraId="0847E67A" w14:textId="77777777" w:rsidR="00AE6D3B" w:rsidRDefault="00AE6D3B">
      <w:r>
        <w:t xml:space="preserve">Karena asal dari ibadah adalah tidak batalnya kesucian kecuali ada dalil yang pasti. Mereka melihat perbuatan Nabi SAW (mencium istri) sebagai bukti bahwa sentuhan fisik tidak merusak wudlu [2]. </w:t>
      </w:r>
    </w:p>
    <w:p w14:paraId="496188AC" w14:textId="22A3111C" w:rsidR="00AE6D3B" w:rsidRDefault="00AE6D3B" w:rsidP="00AE6D3B">
      <w:pPr>
        <w:pStyle w:val="DaftarParagraf"/>
        <w:numPr>
          <w:ilvl w:val="0"/>
          <w:numId w:val="1"/>
        </w:numPr>
      </w:pPr>
      <w:r>
        <w:t>Sisi Lemah Pendapat Pertama</w:t>
      </w:r>
    </w:p>
    <w:p w14:paraId="3DC50AB9" w14:textId="77777777" w:rsidR="00AE6D3B" w:rsidRDefault="00AE6D3B">
      <w:r>
        <w:t>Dianggap mengabaikan hadis-hadis sahih yang menunjukkan Nabi SAW pernah bersentuhan kulit dengan istrinya (seperti saat shalat malam atau mencium sebelum shalat) tanpa mengulangi wudlu [3].</w:t>
      </w:r>
    </w:p>
    <w:p w14:paraId="4B3925AF" w14:textId="4F6568DF" w:rsidR="00AE6D3B" w:rsidRDefault="00AE6D3B" w:rsidP="00AE6D3B">
      <w:pPr>
        <w:pStyle w:val="DaftarParagraf"/>
        <w:numPr>
          <w:ilvl w:val="0"/>
          <w:numId w:val="1"/>
        </w:numPr>
      </w:pPr>
      <w:r>
        <w:t>Sisi Lemah Pendapat Kedua</w:t>
      </w:r>
    </w:p>
    <w:p w14:paraId="6A67998A" w14:textId="3B4DD11C" w:rsidR="00AE6D3B" w:rsidRDefault="00AE6D3B">
      <w:r>
        <w:t>Hadis-hadis yang digunakan (seperti hadis mencium istri) diperselisihkan keshahihannya oleh sebagian pakar hadis, dan dianggap kurang kuat jika harus berhadapan dengan makna lahiriah Al-Qur’an [4].</w:t>
      </w:r>
    </w:p>
    <w:p w14:paraId="237A43B6" w14:textId="335BF724" w:rsidR="00AE6D3B" w:rsidRDefault="00AE6D3B" w:rsidP="00AE6D3B">
      <w:pPr>
        <w:pStyle w:val="DaftarParagraf"/>
        <w:numPr>
          <w:ilvl w:val="0"/>
          <w:numId w:val="1"/>
        </w:numPr>
      </w:pPr>
      <w:r>
        <w:t>Sisi Kuat Pendapat Pertama</w:t>
      </w:r>
    </w:p>
    <w:p w14:paraId="24846B45" w14:textId="77777777" w:rsidR="00AE6D3B" w:rsidRDefault="00AE6D3B">
      <w:r>
        <w:t>Sangat kuat dari sisi Ikhtiyath (Kehati-hatian). Dengan berwudlu kembali, seseorang dipastikan suci saat shalat tanpa ada keraguan sedikit pun [1].</w:t>
      </w:r>
    </w:p>
    <w:p w14:paraId="0713FADB" w14:textId="62F5765D" w:rsidR="00AE6D3B" w:rsidRDefault="00AE6D3B" w:rsidP="00AE6D3B">
      <w:pPr>
        <w:pStyle w:val="DaftarParagraf"/>
        <w:numPr>
          <w:ilvl w:val="0"/>
          <w:numId w:val="1"/>
        </w:numPr>
      </w:pPr>
      <w:r>
        <w:t>Sisi Kuat Pendapat Kedua</w:t>
      </w:r>
    </w:p>
    <w:p w14:paraId="248B4D4C" w14:textId="77777777" w:rsidR="00AE6D3B" w:rsidRDefault="00AE6D3B">
      <w:r>
        <w:t>Sangat kuat dari sisi Taysir (Memudahkan) dan kesesuaian dengan praktik keseharian Nabi SAW di rumah tangga, serta lebih relevan dalam kondisi darurat (seperti saat Thawaf) [2].</w:t>
      </w:r>
    </w:p>
    <w:p w14:paraId="0F2116C2" w14:textId="77554761" w:rsidR="00AE6D3B" w:rsidRDefault="00AE6D3B" w:rsidP="00AE6D3B">
      <w:pPr>
        <w:pStyle w:val="DaftarParagraf"/>
        <w:numPr>
          <w:ilvl w:val="0"/>
          <w:numId w:val="1"/>
        </w:numPr>
      </w:pPr>
      <w:r>
        <w:t>Sisi Persamaan</w:t>
      </w:r>
    </w:p>
    <w:p w14:paraId="0372C228" w14:textId="77777777" w:rsidR="00AE6D3B" w:rsidRDefault="00AE6D3B">
      <w:r>
        <w:t>Kedua pendapat sepakat bahwa jika persentuhan terjadi dengan Mahram (ibu, saudara kandung, dll), maka wudlu tidak batal [1][2].</w:t>
      </w:r>
    </w:p>
    <w:p w14:paraId="648F3C6A" w14:textId="316CA4E9" w:rsidR="00AE6D3B" w:rsidRDefault="00AE6D3B" w:rsidP="00AE6D3B">
      <w:pPr>
        <w:pStyle w:val="DaftarParagraf"/>
        <w:numPr>
          <w:ilvl w:val="0"/>
          <w:numId w:val="1"/>
        </w:numPr>
      </w:pPr>
      <w:r>
        <w:t>Tokoh Ulama Pendapat Pertama</w:t>
      </w:r>
    </w:p>
    <w:p w14:paraId="660D9E13" w14:textId="2BB0FD1E" w:rsidR="00AE6D3B" w:rsidRDefault="00AE6D3B">
      <w:r>
        <w:t>Imam Syafi’i dan para pengikut mazhab Syafi’iyah [1].</w:t>
      </w:r>
    </w:p>
    <w:p w14:paraId="33762A80" w14:textId="3FEB26D7" w:rsidR="00AE6D3B" w:rsidRDefault="00AE6D3B" w:rsidP="00AE6D3B">
      <w:pPr>
        <w:pStyle w:val="DaftarParagraf"/>
        <w:numPr>
          <w:ilvl w:val="0"/>
          <w:numId w:val="1"/>
        </w:numPr>
      </w:pPr>
      <w:r>
        <w:t>Tokoh Ulama Pendapat Kedua</w:t>
      </w:r>
    </w:p>
    <w:p w14:paraId="5749440B" w14:textId="77777777" w:rsidR="00AE6D3B" w:rsidRDefault="00AE6D3B">
      <w:r>
        <w:t>Imam Abu Hanifah (Mazhab Hanafi) dan Ibnu Taimiyah [2].</w:t>
      </w:r>
    </w:p>
    <w:p w14:paraId="30C44824" w14:textId="222E9CA1" w:rsidR="00AE6D3B" w:rsidRDefault="00AE6D3B" w:rsidP="00AE6D3B">
      <w:pPr>
        <w:pStyle w:val="DaftarParagraf"/>
        <w:numPr>
          <w:ilvl w:val="0"/>
          <w:numId w:val="1"/>
        </w:numPr>
      </w:pPr>
      <w:r>
        <w:t>Analisis Pendapat Pribadi</w:t>
      </w:r>
    </w:p>
    <w:p w14:paraId="7510675D" w14:textId="31303ED9" w:rsidR="00AE6D3B" w:rsidRDefault="00AE6D3B">
      <w:r>
        <w:t>Secara ilmiah, pendapat kedua (Hanafi/Ibnu Taimiyah) tampak lebih kuat secara pendalilan karena mengolaborasikan ayat Al-Qur’an dengan praktik Nabi SAW. Namun, dalam konteks kehati-hatian (ihtiyath), pendapat pertama (Syafi’i) lebih aman untuk diamalkan di lingkungan masyarakat Indonesia yang mayoritas Syafi’iyah. Jika dalam kondisi sulit (seperti berdesakan saat Haji), beralih ke pendapat kedua adalah solusi yang syar’i.</w:t>
      </w:r>
    </w:p>
    <w:p w14:paraId="115A5645" w14:textId="77777777" w:rsidR="00AE6D3B" w:rsidRDefault="00AE6D3B">
      <w:r>
        <w:t>Footnote:</w:t>
      </w:r>
    </w:p>
    <w:p w14:paraId="51AC55BB" w14:textId="33B29DE0" w:rsidR="00AE6D3B" w:rsidRDefault="00AE6D3B">
      <w:r>
        <w:t>[1] Al-Imam Asy-Syafi’i, Al-Umm, Juz 1, hal. 15.</w:t>
      </w:r>
    </w:p>
    <w:p w14:paraId="5B61B768" w14:textId="77777777" w:rsidR="00AE6D3B" w:rsidRDefault="00AE6D3B">
      <w:r>
        <w:t>[2] Ibnu Rusyd, Bidayatul Mujtahid, Juz 1, hal. 32-34.</w:t>
      </w:r>
    </w:p>
    <w:p w14:paraId="4EC5EDC4" w14:textId="77777777" w:rsidR="00AE6D3B" w:rsidRDefault="00AE6D3B">
      <w:r>
        <w:t>[3] Wahbah Az-Zuhaili, Al-Fiqh Al-Islami wa Adillatuhu, Juz 1, hal. 267.</w:t>
      </w:r>
    </w:p>
    <w:p w14:paraId="0C9F8620" w14:textId="5BC92355" w:rsidR="00AE6D3B" w:rsidRDefault="00AE6D3B">
      <w:r>
        <w:t>[4] Sayyid Sabiq, Fiqhus Sunnah, Juz 1, hal. 51.</w:t>
      </w:r>
    </w:p>
    <w:p w14:paraId="5EE93138" w14:textId="77777777" w:rsidR="00AE6D3B" w:rsidRDefault="00AE6D3B"/>
    <w:p w14:paraId="33122901" w14:textId="77777777" w:rsidR="00AE6D3B" w:rsidRDefault="00AE6D3B"/>
    <w:p w14:paraId="5ABBE846" w14:textId="77777777" w:rsidR="00AE6D3B" w:rsidRDefault="00AE6D3B"/>
    <w:p w14:paraId="44726B7B" w14:textId="77777777" w:rsidR="00AE6D3B" w:rsidRDefault="00AE6D3B"/>
    <w:sectPr w:rsidR="00AE6D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336F5C"/>
    <w:multiLevelType w:val="hybridMultilevel"/>
    <w:tmpl w:val="E062AA1E"/>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526939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D3B"/>
    <w:rsid w:val="0038419F"/>
    <w:rsid w:val="00660A20"/>
    <w:rsid w:val="00AE6D3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0E389F6A"/>
  <w15:chartTrackingRefBased/>
  <w15:docId w15:val="{989E5A01-80E6-D744-A622-2B337012E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AE6D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AE6D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AE6D3B"/>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AE6D3B"/>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AE6D3B"/>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AE6D3B"/>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AE6D3B"/>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AE6D3B"/>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AE6D3B"/>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AE6D3B"/>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AE6D3B"/>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AE6D3B"/>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AE6D3B"/>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AE6D3B"/>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AE6D3B"/>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AE6D3B"/>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AE6D3B"/>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AE6D3B"/>
    <w:rPr>
      <w:rFonts w:eastAsiaTheme="majorEastAsia" w:cstheme="majorBidi"/>
      <w:color w:val="272727" w:themeColor="text1" w:themeTint="D8"/>
    </w:rPr>
  </w:style>
  <w:style w:type="paragraph" w:styleId="Judul">
    <w:name w:val="Title"/>
    <w:basedOn w:val="Normal"/>
    <w:next w:val="Normal"/>
    <w:link w:val="JudulKAR"/>
    <w:uiPriority w:val="10"/>
    <w:qFormat/>
    <w:rsid w:val="00AE6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AE6D3B"/>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AE6D3B"/>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AE6D3B"/>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AE6D3B"/>
    <w:pPr>
      <w:spacing w:before="160"/>
      <w:jc w:val="center"/>
    </w:pPr>
    <w:rPr>
      <w:i/>
      <w:iCs/>
      <w:color w:val="404040" w:themeColor="text1" w:themeTint="BF"/>
    </w:rPr>
  </w:style>
  <w:style w:type="character" w:customStyle="1" w:styleId="KutipanKAR">
    <w:name w:val="Kutipan KAR"/>
    <w:basedOn w:val="FontParagrafDefault"/>
    <w:link w:val="Kutipan"/>
    <w:uiPriority w:val="29"/>
    <w:rsid w:val="00AE6D3B"/>
    <w:rPr>
      <w:i/>
      <w:iCs/>
      <w:color w:val="404040" w:themeColor="text1" w:themeTint="BF"/>
    </w:rPr>
  </w:style>
  <w:style w:type="paragraph" w:styleId="DaftarParagraf">
    <w:name w:val="List Paragraph"/>
    <w:basedOn w:val="Normal"/>
    <w:uiPriority w:val="34"/>
    <w:qFormat/>
    <w:rsid w:val="00AE6D3B"/>
    <w:pPr>
      <w:ind w:left="720"/>
      <w:contextualSpacing/>
    </w:pPr>
  </w:style>
  <w:style w:type="character" w:styleId="PenekananKeras">
    <w:name w:val="Intense Emphasis"/>
    <w:basedOn w:val="FontParagrafDefault"/>
    <w:uiPriority w:val="21"/>
    <w:qFormat/>
    <w:rsid w:val="00AE6D3B"/>
    <w:rPr>
      <w:i/>
      <w:iCs/>
      <w:color w:val="0F4761" w:themeColor="accent1" w:themeShade="BF"/>
    </w:rPr>
  </w:style>
  <w:style w:type="paragraph" w:styleId="KutipanyangSering">
    <w:name w:val="Intense Quote"/>
    <w:basedOn w:val="Normal"/>
    <w:next w:val="Normal"/>
    <w:link w:val="KutipanyangSeringKAR"/>
    <w:uiPriority w:val="30"/>
    <w:qFormat/>
    <w:rsid w:val="00AE6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AE6D3B"/>
    <w:rPr>
      <w:i/>
      <w:iCs/>
      <w:color w:val="0F4761" w:themeColor="accent1" w:themeShade="BF"/>
    </w:rPr>
  </w:style>
  <w:style w:type="character" w:styleId="ReferensiyangSering">
    <w:name w:val="Intense Reference"/>
    <w:basedOn w:val="FontParagrafDefault"/>
    <w:uiPriority w:val="32"/>
    <w:qFormat/>
    <w:rsid w:val="00AE6D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542</Words>
  <Characters>3092</Characters>
  <Application>Microsoft Office Word</Application>
  <DocSecurity>0</DocSecurity>
  <Lines>25</Lines>
  <Paragraphs>7</Paragraphs>
  <ScaleCrop>false</ScaleCrop>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Zainal azky</dc:creator>
  <cp:keywords/>
  <dc:description/>
  <cp:lastModifiedBy>Zainal azky</cp:lastModifiedBy>
  <cp:revision>2</cp:revision>
  <dcterms:created xsi:type="dcterms:W3CDTF">2026-04-26T23:52:00Z</dcterms:created>
  <dcterms:modified xsi:type="dcterms:W3CDTF">2026-04-26T23:52:00Z</dcterms:modified>
</cp:coreProperties>
</file>