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NAMA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: S</w:t>
      </w:r>
      <w:r>
        <w:rPr>
          <w:rFonts w:ascii="Times New Roman" w:cs="Times New Roman" w:hAnsi="Times New Roman"/>
          <w:sz w:val="24"/>
          <w:szCs w:val="24"/>
          <w:lang w:val="en-US"/>
        </w:rPr>
        <w:t>YAFIRA NISAUL ABDILLAH</w:t>
      </w:r>
    </w:p>
    <w:p>
      <w:pPr>
        <w:pStyle w:val="style0"/>
        <w:spacing w:after="0"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NIM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: 230511</w:t>
      </w:r>
      <w:r>
        <w:rPr>
          <w:rFonts w:ascii="Times New Roman" w:cs="Times New Roman" w:hAnsi="Times New Roman"/>
          <w:sz w:val="24"/>
          <w:szCs w:val="24"/>
          <w:lang w:val="en-US"/>
        </w:rPr>
        <w:t>38</w:t>
      </w:r>
    </w:p>
    <w:p>
      <w:pPr>
        <w:pStyle w:val="style0"/>
        <w:spacing w:after="0"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KELAS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: PAI 6 C</w:t>
      </w:r>
    </w:p>
    <w:p>
      <w:pPr>
        <w:pStyle w:val="style0"/>
        <w:pBdr>
          <w:bottom w:val="thinThickThinMediumGap" w:sz="18" w:space="1" w:color="auto"/>
        </w:pBdr>
        <w:spacing w:after="0"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MK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: MASAILUL FIQIYAH</w:t>
      </w:r>
    </w:p>
    <w:p>
      <w:pPr>
        <w:pStyle w:val="style0"/>
        <w:spacing w:after="0" w:lineRule="auto" w:line="276"/>
        <w:jc w:val="center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</w:p>
    <w:p>
      <w:pPr>
        <w:pStyle w:val="style0"/>
        <w:spacing w:after="0" w:lineRule="auto" w:line="276"/>
        <w:jc w:val="center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bCs/>
          <w:sz w:val="24"/>
          <w:szCs w:val="24"/>
          <w:u w:val="single"/>
        </w:rPr>
        <w:t>HUKUM MEMAKAI E-WALLET</w:t>
      </w:r>
    </w:p>
    <w:p>
      <w:pPr>
        <w:pStyle w:val="style0"/>
        <w:spacing w:after="0" w:lineRule="auto" w:line="276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numPr>
          <w:ilvl w:val="0"/>
          <w:numId w:val="1"/>
        </w:numPr>
        <w:spacing w:after="0"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Masalah: Hukum memakai E-Wallet</w:t>
      </w:r>
    </w:p>
    <w:p>
      <w:pPr>
        <w:pStyle w:val="style0"/>
        <w:spacing w:after="0" w:lineRule="auto" w:line="276"/>
        <w:ind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Masalah</w:t>
      </w:r>
    </w:p>
    <w:p>
      <w:pPr>
        <w:pStyle w:val="style0"/>
        <w:spacing w:after="0" w:lineRule="auto" w:line="276"/>
        <w:ind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Hukum menyentuh lawan jenis (non-mahram) apakah membatalkan wudhu dalam fiqih Islam.¹Permasalahan fiqih tentang pembatal wudhu</w:t>
      </w:r>
    </w:p>
    <w:p>
      <w:pPr>
        <w:pStyle w:val="style0"/>
        <w:spacing w:after="0" w:lineRule="auto" w:line="276"/>
        <w:ind w:firstLine="72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numPr>
          <w:ilvl w:val="0"/>
          <w:numId w:val="1"/>
        </w:numPr>
        <w:spacing w:after="0"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Pendapat pertama</w:t>
      </w:r>
    </w:p>
    <w:p>
      <w:pPr>
        <w:pStyle w:val="style0"/>
        <w:spacing w:after="0" w:lineRule="auto" w:line="276"/>
        <w:ind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Menyentuh lawan jenis membatalkan wudhu secara mutlak, baik dengan syahwat maupun tidak.²Mazhab Syafi’i</w:t>
      </w:r>
    </w:p>
    <w:p>
      <w:pPr>
        <w:pStyle w:val="style0"/>
        <w:spacing w:after="0" w:lineRule="auto" w:line="276"/>
        <w:ind w:firstLine="72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numPr>
          <w:ilvl w:val="0"/>
          <w:numId w:val="1"/>
        </w:numPr>
        <w:spacing w:after="0"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Pendapat kedua</w:t>
      </w:r>
    </w:p>
    <w:p>
      <w:pPr>
        <w:pStyle w:val="style0"/>
        <w:spacing w:after="0" w:lineRule="auto" w:line="276"/>
        <w:ind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Menyentuh lawan jenis tidak membatalkan wudhu, kecuali jika disertai syahwat (menurut sebagian ulama lain: tidak membatalkan sama sekali).³Mazhab Hanafi, Maliki, Hanbali (variasi)</w:t>
      </w:r>
    </w:p>
    <w:p>
      <w:pPr>
        <w:pStyle w:val="style0"/>
        <w:spacing w:after="0" w:lineRule="auto" w:line="276"/>
        <w:ind w:firstLine="72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numPr>
          <w:ilvl w:val="0"/>
          <w:numId w:val="1"/>
        </w:numPr>
        <w:spacing w:after="0"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Dalil pendapat pertama</w:t>
      </w:r>
    </w:p>
    <w:p>
      <w:pPr>
        <w:pStyle w:val="style0"/>
        <w:spacing w:after="0"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Firman Allah:</w:t>
      </w:r>
    </w:p>
    <w:p>
      <w:pPr>
        <w:pStyle w:val="style0"/>
        <w:spacing w:after="0"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rtl/>
          <w:lang w:val="en-US"/>
        </w:rPr>
        <w:t>أَوْ لَامَسْتُمُ النِّسَاءَ</w:t>
      </w:r>
    </w:p>
    <w:p>
      <w:pPr>
        <w:pStyle w:val="style0"/>
        <w:spacing w:after="0"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rtl/>
          <w:lang w:val="en-US"/>
        </w:rPr>
        <w:t>“…atau kamu menyentuh perempuan…” (QS. An-Nisa: 43)⁴</w:t>
      </w:r>
    </w:p>
    <w:p>
      <w:pPr>
        <w:pStyle w:val="style0"/>
        <w:spacing w:after="0"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Mereka memahami kata “لامستم” sebagai menyentuh secara fisik.⁵Tafsir literal ulama Syafi’iyah</w:t>
      </w:r>
    </w:p>
    <w:p>
      <w:pPr>
        <w:pStyle w:val="style0"/>
        <w:spacing w:after="0" w:lineRule="auto" w:line="276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numPr>
          <w:ilvl w:val="0"/>
          <w:numId w:val="1"/>
        </w:numPr>
        <w:spacing w:after="0"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Dalil pendapat kedua</w:t>
      </w:r>
    </w:p>
    <w:p>
      <w:pPr>
        <w:pStyle w:val="style179"/>
        <w:numPr>
          <w:ilvl w:val="0"/>
          <w:numId w:val="0"/>
        </w:numPr>
        <w:spacing w:after="0" w:lineRule="auto" w:line="276"/>
        <w:ind w:left="360" w:firstLine="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Hadis:</w:t>
      </w:r>
    </w:p>
    <w:p>
      <w:pPr>
        <w:pStyle w:val="style179"/>
        <w:numPr>
          <w:ilvl w:val="0"/>
          <w:numId w:val="0"/>
        </w:numPr>
        <w:spacing w:after="0" w:lineRule="auto" w:line="276"/>
        <w:ind w:left="360" w:firstLine="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“Rasulullah mencium sebagian istrinya lalu shalat tanpa berwudhu lagi.”⁶</w:t>
      </w:r>
    </w:p>
    <w:p>
      <w:pPr>
        <w:pStyle w:val="style179"/>
        <w:numPr>
          <w:ilvl w:val="0"/>
          <w:numId w:val="0"/>
        </w:numPr>
        <w:spacing w:after="0" w:lineRule="auto" w:line="276"/>
        <w:ind w:left="360" w:firstLine="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Juga penafsiran bahwa “لامستم” berarti hubungan suami istri (jima’), bukan sekadar sentuhan.⁷Tafsir Ibnu Abbas</w:t>
      </w:r>
    </w:p>
    <w:p>
      <w:pPr>
        <w:pStyle w:val="style179"/>
        <w:numPr>
          <w:ilvl w:val="0"/>
          <w:numId w:val="0"/>
        </w:numPr>
        <w:spacing w:after="0" w:lineRule="auto" w:line="276"/>
        <w:ind w:left="360" w:firstLine="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numPr>
          <w:ilvl w:val="0"/>
          <w:numId w:val="1"/>
        </w:numPr>
        <w:spacing w:after="0"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Metode yang dipakai pendapat pertama</w:t>
      </w:r>
    </w:p>
    <w:p>
      <w:pPr>
        <w:pStyle w:val="style0"/>
        <w:spacing w:after="0" w:lineRule="auto" w:line="276"/>
        <w:ind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Menggunakan pemahaman literal (dzahir) terhadap ayat Al-Qur’an, bahwa “menyentuh” berarti sentuhan fisik.⁸</w:t>
      </w:r>
      <w:r>
        <w:rPr>
          <w:rFonts w:ascii="Times New Roman" w:cs="Times New Roman" w:hAnsi="Times New Roman"/>
          <w:sz w:val="24"/>
          <w:szCs w:val="24"/>
          <w:lang w:val="en-US"/>
        </w:rPr>
        <w:t>Metode dzahir النص</w:t>
      </w:r>
    </w:p>
    <w:p>
      <w:pPr>
        <w:pStyle w:val="style0"/>
        <w:spacing w:after="0" w:lineRule="auto" w:line="276"/>
        <w:ind w:firstLine="72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numPr>
          <w:ilvl w:val="0"/>
          <w:numId w:val="1"/>
        </w:numPr>
        <w:spacing w:after="0"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Metode yang dipakai pendapat kedua</w:t>
      </w:r>
    </w:p>
    <w:p>
      <w:pPr>
        <w:pStyle w:val="style0"/>
        <w:spacing w:after="0"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Menggunakan penafsiran kontekstual (ta’wil) dan menggabungkan ayat dengan hadis.⁹Metode الجمع بين الأدلة</w:t>
      </w:r>
    </w:p>
    <w:p>
      <w:pPr>
        <w:pStyle w:val="style0"/>
        <w:spacing w:after="0" w:lineRule="auto" w:line="276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numPr>
          <w:ilvl w:val="0"/>
          <w:numId w:val="1"/>
        </w:numPr>
        <w:spacing w:after="0"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Alasan ulama pertama</w:t>
      </w:r>
    </w:p>
    <w:p>
      <w:pPr>
        <w:spacing w:lineRule="auto" w:line="276"/>
        <w:ind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Karena lafaz Al-Qur’an jelas menyebut “menyentuh”, sehingga dianggap membatalkan wudhu tanpa pengecualian.¹⁰Ushul fiqih mazhab Syafi’i</w:t>
      </w:r>
    </w:p>
    <w:p>
      <w:pPr>
        <w:pStyle w:val="style179"/>
        <w:numPr>
          <w:ilvl w:val="0"/>
          <w:numId w:val="1"/>
        </w:numPr>
        <w:spacing w:after="0"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Alasan ulama kedua</w:t>
      </w:r>
    </w:p>
    <w:p>
      <w:pPr>
        <w:pStyle w:val="style179"/>
        <w:numPr>
          <w:ilvl w:val="0"/>
          <w:numId w:val="0"/>
        </w:numPr>
        <w:spacing w:after="0" w:lineRule="auto" w:line="276"/>
        <w:ind w:left="360" w:firstLine="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Karena terdapat hadis yang menunjukkan Nabi menyentuh/ mencium istri tanpa berwudhu lagi, sehingga sentuhan biasa tidak membatalkan.¹¹Praktik Nabi Muhammad SAW</w:t>
      </w:r>
    </w:p>
    <w:p>
      <w:pPr>
        <w:pStyle w:val="style179"/>
        <w:numPr>
          <w:ilvl w:val="0"/>
          <w:numId w:val="0"/>
        </w:numPr>
        <w:spacing w:after="0" w:lineRule="auto" w:line="276"/>
        <w:ind w:left="360" w:firstLine="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numPr>
          <w:ilvl w:val="0"/>
          <w:numId w:val="1"/>
        </w:numPr>
        <w:spacing w:after="0"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Kelemahan pendapat pertama</w:t>
      </w:r>
    </w:p>
    <w:p>
      <w:pPr>
        <w:pStyle w:val="style179"/>
        <w:numPr>
          <w:ilvl w:val="0"/>
          <w:numId w:val="0"/>
        </w:numPr>
        <w:spacing w:after="0" w:lineRule="auto" w:line="276"/>
        <w:ind w:left="360" w:firstLine="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Kurang mempertimbangkan hadis yang tampak bertentangan dengan pemahaman literal ayat.¹²Kritik ushul fiqih</w:t>
      </w:r>
    </w:p>
    <w:p>
      <w:pPr>
        <w:pStyle w:val="style0"/>
        <w:spacing w:after="0" w:lineRule="auto" w:line="276"/>
        <w:ind w:firstLine="72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numPr>
          <w:ilvl w:val="0"/>
          <w:numId w:val="1"/>
        </w:numPr>
        <w:spacing w:after="0"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Kelemahan pendapat kedua</w:t>
      </w:r>
    </w:p>
    <w:p>
      <w:pPr>
        <w:pStyle w:val="style179"/>
        <w:numPr>
          <w:ilvl w:val="0"/>
          <w:numId w:val="0"/>
        </w:numPr>
        <w:spacing w:after="0" w:lineRule="auto" w:line="276"/>
        <w:ind w:left="360" w:firstLine="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Penafsiran “menyentuh” sebagai jima’ dianggap tidak sesuai makna bahasa yang umum.¹³Kritik bahasa Arab</w:t>
      </w:r>
    </w:p>
    <w:p>
      <w:pPr>
        <w:pStyle w:val="style179"/>
        <w:numPr>
          <w:ilvl w:val="0"/>
          <w:numId w:val="0"/>
        </w:numPr>
        <w:spacing w:after="0" w:lineRule="auto" w:line="276"/>
        <w:ind w:left="360" w:firstLine="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numPr>
          <w:ilvl w:val="0"/>
          <w:numId w:val="1"/>
        </w:numPr>
        <w:spacing w:after="0"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Kekuatan pendapat pertama</w:t>
      </w:r>
    </w:p>
    <w:p>
      <w:pPr>
        <w:pStyle w:val="style179"/>
        <w:numPr>
          <w:ilvl w:val="0"/>
          <w:numId w:val="0"/>
        </w:numPr>
        <w:spacing w:after="0" w:lineRule="auto" w:line="276"/>
        <w:ind w:left="360" w:firstLine="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Berpegang kuat pada teks Al-Qur’an secara langsung dan jelas.¹⁴Kekuatan النص الصريح</w:t>
      </w:r>
    </w:p>
    <w:p>
      <w:pPr>
        <w:pStyle w:val="style179"/>
        <w:numPr>
          <w:ilvl w:val="0"/>
          <w:numId w:val="1"/>
        </w:numPr>
        <w:spacing w:after="0"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Kekuatan pendapat kedua</w:t>
      </w:r>
    </w:p>
    <w:p>
      <w:pPr>
        <w:pStyle w:val="style179"/>
        <w:numPr>
          <w:ilvl w:val="0"/>
          <w:numId w:val="0"/>
        </w:numPr>
        <w:spacing w:after="0" w:lineRule="auto" w:line="276"/>
        <w:ind w:left="360" w:firstLine="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Menggabungkan Al-Qur’an dengan hadis sehingga lebih komprehensif.¹⁵Pendekatan komprehensif</w:t>
      </w:r>
    </w:p>
    <w:p>
      <w:pPr>
        <w:pStyle w:val="style179"/>
        <w:numPr>
          <w:ilvl w:val="0"/>
          <w:numId w:val="0"/>
        </w:numPr>
        <w:spacing w:after="0" w:lineRule="auto" w:line="276"/>
        <w:ind w:left="360" w:firstLine="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numPr>
          <w:ilvl w:val="0"/>
          <w:numId w:val="1"/>
        </w:numPr>
        <w:spacing w:after="0"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Persamaan kedua pendapat</w:t>
      </w:r>
    </w:p>
    <w:p>
      <w:pPr>
        <w:pStyle w:val="style179"/>
        <w:numPr>
          <w:ilvl w:val="0"/>
          <w:numId w:val="0"/>
        </w:numPr>
        <w:spacing w:after="0" w:lineRule="auto" w:line="276"/>
        <w:ind w:left="360" w:firstLine="0"/>
        <w:jc w:val="both"/>
        <w:rPr>
          <w:rFonts w:ascii="Times New Roman" w:cs="Times New Roman" w:hAnsi="Times New Roman"/>
          <w:b w:val="false"/>
          <w:bCs w:val="false"/>
          <w:sz w:val="24"/>
          <w:szCs w:val="24"/>
        </w:rPr>
      </w:pPr>
      <w:r>
        <w:rPr>
          <w:rFonts w:ascii="Times New Roman" w:cs="Times New Roman" w:hAnsi="Times New Roman"/>
          <w:b w:val="false"/>
          <w:bCs w:val="false"/>
          <w:sz w:val="24"/>
          <w:szCs w:val="24"/>
          <w:lang w:val="en-US"/>
        </w:rPr>
        <w:t>Keduanya sama-sama:</w:t>
      </w:r>
    </w:p>
    <w:p>
      <w:pPr>
        <w:pStyle w:val="style179"/>
        <w:numPr>
          <w:ilvl w:val="0"/>
          <w:numId w:val="2"/>
        </w:numPr>
        <w:spacing w:after="0" w:lineRule="auto" w:line="276"/>
        <w:jc w:val="both"/>
        <w:rPr>
          <w:rFonts w:ascii="Times New Roman" w:cs="Times New Roman" w:hAnsi="Times New Roman"/>
          <w:b w:val="false"/>
          <w:bCs w:val="false"/>
          <w:sz w:val="24"/>
          <w:szCs w:val="24"/>
        </w:rPr>
      </w:pPr>
      <w:r>
        <w:rPr>
          <w:rFonts w:ascii="Times New Roman" w:cs="Times New Roman" w:hAnsi="Times New Roman"/>
          <w:b w:val="false"/>
          <w:bCs w:val="false"/>
          <w:sz w:val="24"/>
          <w:szCs w:val="24"/>
          <w:lang w:val="en-US"/>
        </w:rPr>
        <w:t>Berdasarkan Al-Qur’an dan hadis</w:t>
      </w:r>
    </w:p>
    <w:p>
      <w:pPr>
        <w:pStyle w:val="style179"/>
        <w:numPr>
          <w:ilvl w:val="0"/>
          <w:numId w:val="2"/>
        </w:numPr>
        <w:spacing w:after="0" w:lineRule="auto" w:line="276"/>
        <w:jc w:val="both"/>
        <w:rPr>
          <w:rFonts w:ascii="Times New Roman" w:cs="Times New Roman" w:hAnsi="Times New Roman"/>
          <w:b w:val="false"/>
          <w:bCs w:val="false"/>
          <w:sz w:val="24"/>
          <w:szCs w:val="24"/>
        </w:rPr>
      </w:pPr>
      <w:r>
        <w:rPr>
          <w:rFonts w:ascii="Times New Roman" w:cs="Times New Roman" w:hAnsi="Times New Roman"/>
          <w:b w:val="false"/>
          <w:bCs w:val="false"/>
          <w:sz w:val="24"/>
          <w:szCs w:val="24"/>
          <w:lang w:val="en-US"/>
        </w:rPr>
        <w:t>Bertujuan menjaga kesucian wudhu</w:t>
      </w:r>
    </w:p>
    <w:p>
      <w:pPr>
        <w:pStyle w:val="style179"/>
        <w:numPr>
          <w:ilvl w:val="0"/>
          <w:numId w:val="2"/>
        </w:numPr>
        <w:spacing w:after="0" w:lineRule="auto" w:line="276"/>
        <w:jc w:val="both"/>
        <w:rPr>
          <w:rFonts w:ascii="Times New Roman" w:cs="Times New Roman" w:hAnsi="Times New Roman"/>
          <w:b w:val="false"/>
          <w:bCs w:val="false"/>
          <w:sz w:val="24"/>
          <w:szCs w:val="24"/>
        </w:rPr>
      </w:pPr>
      <w:r>
        <w:rPr>
          <w:rFonts w:ascii="Times New Roman" w:cs="Times New Roman" w:hAnsi="Times New Roman"/>
          <w:b w:val="false"/>
          <w:bCs w:val="false"/>
          <w:sz w:val="24"/>
          <w:szCs w:val="24"/>
          <w:lang w:val="en-US"/>
        </w:rPr>
        <w:t>Menggunakan metode ijtihad ulama¹⁶Kesamaan metode ijtihad</w:t>
      </w:r>
    </w:p>
    <w:p>
      <w:pPr>
        <w:pStyle w:val="style179"/>
        <w:numPr>
          <w:ilvl w:val="0"/>
          <w:numId w:val="0"/>
        </w:numPr>
        <w:spacing w:after="0" w:lineRule="auto" w:line="276"/>
        <w:ind w:left="720" w:firstLine="0"/>
        <w:jc w:val="both"/>
        <w:rPr>
          <w:rFonts w:ascii="Times New Roman" w:cs="Times New Roman" w:hAnsi="Times New Roman"/>
          <w:b w:val="false"/>
          <w:bCs w:val="false"/>
          <w:sz w:val="24"/>
          <w:szCs w:val="24"/>
        </w:rPr>
      </w:pPr>
    </w:p>
    <w:p>
      <w:pPr>
        <w:pStyle w:val="style179"/>
        <w:numPr>
          <w:ilvl w:val="0"/>
          <w:numId w:val="1"/>
        </w:numPr>
        <w:spacing w:after="0"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Ulama yang mengatakan membatalkan</w:t>
      </w:r>
    </w:p>
    <w:p>
      <w:pPr>
        <w:pStyle w:val="style179"/>
        <w:numPr>
          <w:ilvl w:val="0"/>
          <w:numId w:val="3"/>
        </w:numPr>
        <w:spacing w:after="0" w:lineRule="auto" w:line="276"/>
        <w:jc w:val="both"/>
        <w:rPr>
          <w:rFonts w:ascii="Times New Roman" w:cs="Times New Roman" w:hAnsi="Times New Roman"/>
          <w:b w:val="false"/>
          <w:bCs w:val="false"/>
          <w:sz w:val="24"/>
          <w:szCs w:val="24"/>
        </w:rPr>
      </w:pPr>
      <w:r>
        <w:rPr>
          <w:rFonts w:ascii="Times New Roman" w:cs="Times New Roman" w:hAnsi="Times New Roman"/>
          <w:b w:val="false"/>
          <w:bCs w:val="false"/>
          <w:sz w:val="24"/>
          <w:szCs w:val="24"/>
          <w:lang w:val="en-US"/>
        </w:rPr>
        <w:t>Imam Syafi’i</w:t>
      </w:r>
    </w:p>
    <w:p>
      <w:pPr>
        <w:pStyle w:val="style179"/>
        <w:numPr>
          <w:ilvl w:val="0"/>
          <w:numId w:val="3"/>
        </w:numPr>
        <w:spacing w:after="0" w:lineRule="auto" w:line="276"/>
        <w:jc w:val="both"/>
        <w:rPr>
          <w:rFonts w:ascii="Times New Roman" w:cs="Times New Roman" w:hAnsi="Times New Roman"/>
          <w:b w:val="false"/>
          <w:bCs w:val="false"/>
          <w:sz w:val="24"/>
          <w:szCs w:val="24"/>
        </w:rPr>
      </w:pPr>
      <w:r>
        <w:rPr>
          <w:rFonts w:ascii="Times New Roman" w:cs="Times New Roman" w:hAnsi="Times New Roman"/>
          <w:b w:val="false"/>
          <w:bCs w:val="false"/>
          <w:sz w:val="24"/>
          <w:szCs w:val="24"/>
          <w:lang w:val="en-US"/>
        </w:rPr>
        <w:t>Imam Nawawi (pengikut mazhab Syafi’i)¹⁷Ulama Syafi’iyah</w:t>
      </w:r>
    </w:p>
    <w:p>
      <w:pPr>
        <w:pStyle w:val="style179"/>
        <w:numPr>
          <w:ilvl w:val="0"/>
          <w:numId w:val="0"/>
        </w:numPr>
        <w:spacing w:after="0" w:lineRule="auto" w:line="276"/>
        <w:ind w:left="720" w:firstLine="0"/>
        <w:jc w:val="both"/>
        <w:rPr>
          <w:rFonts w:ascii="Times New Roman" w:cs="Times New Roman" w:hAnsi="Times New Roman"/>
          <w:b w:val="false"/>
          <w:bCs w:val="false"/>
          <w:sz w:val="24"/>
          <w:szCs w:val="24"/>
        </w:rPr>
      </w:pPr>
    </w:p>
    <w:p>
      <w:pPr>
        <w:pStyle w:val="style0"/>
        <w:spacing w:after="0"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16.Ulama yang mengatakan tidak membatalkan</w:t>
      </w:r>
    </w:p>
    <w:p>
      <w:pPr>
        <w:pStyle w:val="style179"/>
        <w:numPr>
          <w:ilvl w:val="0"/>
          <w:numId w:val="4"/>
        </w:numPr>
        <w:spacing w:after="0"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Imam Abu Hanifah</w:t>
      </w:r>
    </w:p>
    <w:p>
      <w:pPr>
        <w:pStyle w:val="style179"/>
        <w:numPr>
          <w:ilvl w:val="0"/>
          <w:numId w:val="4"/>
        </w:numPr>
        <w:spacing w:after="0"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Imam Malik</w:t>
      </w:r>
    </w:p>
    <w:p>
      <w:pPr>
        <w:pStyle w:val="style179"/>
        <w:numPr>
          <w:ilvl w:val="0"/>
          <w:numId w:val="4"/>
        </w:numPr>
        <w:spacing w:after="0"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Imam Ahmad (dalam salah satu riwayat)¹⁸Ulama selain Syafi’i</w:t>
      </w:r>
    </w:p>
    <w:p>
      <w:pPr>
        <w:pStyle w:val="style179"/>
        <w:numPr>
          <w:ilvl w:val="0"/>
          <w:numId w:val="0"/>
        </w:numPr>
        <w:spacing w:after="0" w:lineRule="auto" w:line="276"/>
        <w:ind w:left="720" w:firstLine="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numPr>
          <w:ilvl w:val="0"/>
          <w:numId w:val="0"/>
        </w:numPr>
        <w:spacing w:after="0" w:lineRule="auto" w:line="276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17.Analisis pendapat pribadi</w:t>
      </w:r>
    </w:p>
    <w:p>
      <w:pPr>
        <w:pStyle w:val="style179"/>
        <w:numPr>
          <w:ilvl w:val="0"/>
          <w:numId w:val="0"/>
        </w:numPr>
        <w:spacing w:after="0" w:lineRule="auto" w:line="276"/>
        <w:ind w:left="720" w:firstLine="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Pendapat kedua lebih kuat karena:</w:t>
      </w:r>
    </w:p>
    <w:p>
      <w:pPr>
        <w:pStyle w:val="style179"/>
        <w:numPr>
          <w:ilvl w:val="0"/>
          <w:numId w:val="5"/>
        </w:numPr>
        <w:spacing w:after="0"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Menggabungkan dalil Al-Qur’an dan hadis</w:t>
      </w:r>
    </w:p>
    <w:p>
      <w:pPr>
        <w:pStyle w:val="style179"/>
        <w:numPr>
          <w:ilvl w:val="0"/>
          <w:numId w:val="5"/>
        </w:numPr>
        <w:spacing w:after="0"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Ada contoh langsung dari Nabi</w:t>
      </w:r>
    </w:p>
    <w:p>
      <w:pPr>
        <w:pStyle w:val="style179"/>
        <w:numPr>
          <w:ilvl w:val="0"/>
          <w:numId w:val="5"/>
        </w:numPr>
        <w:spacing w:after="0"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Lebih fleksibel dan sesuai praktik kehidupan</w:t>
      </w:r>
    </w:p>
    <w:p>
      <w:pPr>
        <w:numPr>
          <w:ilvl w:val="0"/>
          <w:numId w:val="0"/>
        </w:numPr>
        <w:spacing w:after="0"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Namun, pendapat pertama tetap kuat dari sisi kehati-hatian (ihtiyath).¹⁹Analisis fiqih perbandingan</w:t>
      </w:r>
    </w:p>
    <w:p>
      <w:pPr>
        <w:pStyle w:val="style0"/>
        <w:spacing w:after="0" w:lineRule="auto" w:line="276"/>
        <w:jc w:val="both"/>
        <w:rPr>
          <w:rFonts w:ascii="Times New Roman" w:cs="Times New Roman" w:hAnsi="Times New Roman"/>
          <w:sz w:val="24"/>
          <w:szCs w:val="24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4002EFF" w:usb1="C200247B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29A2284"/>
    <w:lvl w:ilvl="0" w:tplc="62FE18C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0000001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D9E0E2B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0"/>
  <w:proofState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ID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宋体" w:eastAsia="宋体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宋体" w:eastAsia="宋体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e30bab0a-9037-4e7e-a0fc-bf4ae755b9b8"/>
    <w:basedOn w:val="style65"/>
    <w:next w:val="style4097"/>
    <w:link w:val="style1"/>
    <w:uiPriority w:val="9"/>
    <w:rPr>
      <w:rFonts w:ascii="Calibri Light" w:cs="宋体" w:eastAsia="宋体" w:hAnsi="Calibri Light"/>
      <w:color w:val="2f5496"/>
      <w:sz w:val="40"/>
      <w:szCs w:val="40"/>
    </w:rPr>
  </w:style>
  <w:style w:type="character" w:customStyle="1" w:styleId="style4098">
    <w:name w:val="Heading 2 Char_e13619d3-5dd4-4a4e-98fa-ba423225f5b6"/>
    <w:basedOn w:val="style65"/>
    <w:next w:val="style4098"/>
    <w:link w:val="style2"/>
    <w:uiPriority w:val="9"/>
    <w:rPr>
      <w:rFonts w:ascii="Calibri Light" w:cs="宋体" w:eastAsia="宋体" w:hAnsi="Calibri Light"/>
      <w:color w:val="2f5496"/>
      <w:sz w:val="32"/>
      <w:szCs w:val="32"/>
    </w:rPr>
  </w:style>
  <w:style w:type="character" w:customStyle="1" w:styleId="style4099">
    <w:name w:val="Heading 3 Char_0487c0ef-53f5-4434-89a9-d18158cecca4"/>
    <w:basedOn w:val="style65"/>
    <w:next w:val="style4099"/>
    <w:link w:val="style3"/>
    <w:uiPriority w:val="9"/>
    <w:rPr>
      <w:rFonts w:cs="宋体" w:eastAsia="宋体"/>
      <w:color w:val="2f5496"/>
      <w:sz w:val="28"/>
      <w:szCs w:val="28"/>
    </w:rPr>
  </w:style>
  <w:style w:type="character" w:customStyle="1" w:styleId="style4100">
    <w:name w:val="Heading 4 Char_387d4a88-bc5b-45e5-8cdd-a3694ce6e567"/>
    <w:basedOn w:val="style65"/>
    <w:next w:val="style4100"/>
    <w:link w:val="style4"/>
    <w:uiPriority w:val="9"/>
    <w:rPr>
      <w:rFonts w:cs="宋体" w:eastAsia="宋体"/>
      <w:i/>
      <w:iCs/>
      <w:color w:val="2f5496"/>
    </w:rPr>
  </w:style>
  <w:style w:type="character" w:customStyle="1" w:styleId="style4101">
    <w:name w:val="Heading 5 Char_15a94399-0290-4857-b3c4-e0790d962730"/>
    <w:basedOn w:val="style65"/>
    <w:next w:val="style4101"/>
    <w:link w:val="style5"/>
    <w:uiPriority w:val="9"/>
    <w:rPr>
      <w:rFonts w:cs="宋体" w:eastAsia="宋体"/>
      <w:color w:val="2f5496"/>
    </w:rPr>
  </w:style>
  <w:style w:type="character" w:customStyle="1" w:styleId="style4102">
    <w:name w:val="Heading 6 Char_91073009-e4ad-47b4-845e-773564ec14dc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a1955642-8d88-43cc-9c10-a32b2d7132a5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79871aab-ab03-40c0-80fe-4be163c081d7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09ade79c-18af-4b5f-91a9-1e8575fd6f96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宋体" w:eastAsia="宋体" w:hAnsi="Calibri Light"/>
      <w:spacing w:val="-10"/>
      <w:kern w:val="28"/>
      <w:sz w:val="56"/>
      <w:szCs w:val="56"/>
    </w:rPr>
  </w:style>
  <w:style w:type="character" w:customStyle="1" w:styleId="style4106">
    <w:name w:val="Title Char_c8999257-dbe2-4085-b545-af3796c5f9c3"/>
    <w:basedOn w:val="style65"/>
    <w:next w:val="style4106"/>
    <w:link w:val="style62"/>
    <w:uiPriority w:val="10"/>
    <w:rPr>
      <w:rFonts w:ascii="Calibri Light" w:cs="宋体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7bb6bb75-8fa4-4967-8828-5f20121efa2c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Intense Quote Char_f2bef1d9-0ad9-4e4c-bd99-a6c117e6bec3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  <w:style w:type="paragraph" w:styleId="style29">
    <w:name w:val="footnote text"/>
    <w:basedOn w:val="style0"/>
    <w:next w:val="style29"/>
    <w:link w:val="style4110"/>
    <w:uiPriority w:val="99"/>
    <w:pPr>
      <w:spacing w:after="0" w:lineRule="auto" w:line="240"/>
    </w:pPr>
    <w:rPr>
      <w:sz w:val="20"/>
      <w:szCs w:val="20"/>
    </w:rPr>
  </w:style>
  <w:style w:type="character" w:customStyle="1" w:styleId="style4110">
    <w:name w:val="Footnote Text Char"/>
    <w:basedOn w:val="style65"/>
    <w:next w:val="style4110"/>
    <w:link w:val="style29"/>
    <w:uiPriority w:val="99"/>
    <w:rPr>
      <w:sz w:val="20"/>
      <w:szCs w:val="20"/>
    </w:rPr>
  </w:style>
  <w:style w:type="character" w:styleId="style38">
    <w:name w:val="footnote reference"/>
    <w:basedOn w:val="style65"/>
    <w:next w:val="style38"/>
    <w:uiPriority w:val="99"/>
    <w:rPr>
      <w:vertAlign w:val="superscript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3A153A-C921-4441-903C-F3F6B8098D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349</Words>
  <Pages>3</Pages>
  <Characters>2468</Characters>
  <Application>WPS Office</Application>
  <DocSecurity>0</DocSecurity>
  <Paragraphs>72</Paragraphs>
  <ScaleCrop>false</ScaleCrop>
  <LinksUpToDate>false</LinksUpToDate>
  <CharactersWithSpaces>2764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2026-04-23T05:19:49Z</dcterms:created>
  <dc:creator>Nikma Jaenab</dc:creator>
  <lastModifiedBy>23117RA68G</lastModifiedBy>
  <dcterms:modified xsi:type="dcterms:W3CDTF">2026-04-23T05:19:49Z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51e8fb4204044ec79031d7cd67afb5e9</vt:lpwstr>
  </property>
</Properties>
</file>