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E4F4F" w14:textId="42FC1627" w:rsidR="00A31E8B" w:rsidRDefault="00A31E8B">
      <w:r>
        <w:t>Betty rachmadhany 23051105</w:t>
      </w:r>
    </w:p>
    <w:p w14:paraId="52CE6CA9" w14:textId="77777777" w:rsidR="00A31E8B" w:rsidRDefault="00A31E8B"/>
    <w:p w14:paraId="2128EC32" w14:textId="77777777" w:rsidR="00A31E8B" w:rsidRDefault="00A31E8B"/>
    <w:p w14:paraId="667FDCED" w14:textId="5FD0404F" w:rsidR="00A31E8B" w:rsidRDefault="00A31E8B" w:rsidP="00A31E8B">
      <w:pPr>
        <w:pStyle w:val="DaftarParagraf"/>
        <w:numPr>
          <w:ilvl w:val="0"/>
          <w:numId w:val="1"/>
        </w:numPr>
      </w:pPr>
      <w:r>
        <w:t>Masalah</w:t>
      </w:r>
    </w:p>
    <w:p w14:paraId="524B4DC2" w14:textId="290CD920" w:rsidR="00A31E8B" w:rsidRDefault="00A31E8B">
      <w:r>
        <w:t>Perbedaan jumlah raka’at dalam sholat tarawih, yaitu antara 11 raka’at (8 raka’at tarawih + 3 witir) dan 23 raka’at (20 raka’at tarawih + 3 witir).(</w:t>
      </w:r>
      <w:r w:rsidR="006507AC">
        <w:t>Wahbah az-Zuhaili, Al-Fiqh al-Islami wa Adillatuhu, Damaskus: Dar al-Fikr, Juz 2, hlm. 44)</w:t>
      </w:r>
    </w:p>
    <w:p w14:paraId="2DF2E744" w14:textId="722F475B" w:rsidR="00A31E8B" w:rsidRDefault="00A31E8B" w:rsidP="00A31E8B">
      <w:pPr>
        <w:pStyle w:val="DaftarParagraf"/>
        <w:numPr>
          <w:ilvl w:val="0"/>
          <w:numId w:val="1"/>
        </w:numPr>
      </w:pPr>
      <w:r>
        <w:t>Pendapat Pertama</w:t>
      </w:r>
    </w:p>
    <w:p w14:paraId="5A9EE2BC" w14:textId="50D8A07B" w:rsidR="00A31E8B" w:rsidRDefault="00A31E8B">
      <w:r>
        <w:t>Sholat tarawih dilaksanakan sebanyak 11 raka’at (8 raka’at tarawih dan 3 raka’at witir).</w:t>
      </w:r>
      <w:r w:rsidR="006507AC">
        <w:t>(</w:t>
      </w:r>
      <w:r w:rsidR="00BA1D51">
        <w:t>Abu Zakariya an-Nawawi, Al-Majmu’ Syarh al-Muhadzdzab, Beirut: Dar al-Fikr, Juz 4, hlm. 31)</w:t>
      </w:r>
    </w:p>
    <w:p w14:paraId="1C6D27A2" w14:textId="171CE4D4" w:rsidR="00A31E8B" w:rsidRDefault="00A31E8B" w:rsidP="00A31E8B">
      <w:pPr>
        <w:pStyle w:val="DaftarParagraf"/>
        <w:numPr>
          <w:ilvl w:val="0"/>
          <w:numId w:val="1"/>
        </w:numPr>
      </w:pPr>
      <w:r>
        <w:t>Pendapat Kedua</w:t>
      </w:r>
    </w:p>
    <w:p w14:paraId="22962375" w14:textId="0125FCC9" w:rsidR="00A31E8B" w:rsidRDefault="00A31E8B">
      <w:r>
        <w:t>Sholat tarawih dilaksanakan sebanyak 23 raka’at (20 raka’at tarawih dan 3 raka’at witir).</w:t>
      </w:r>
      <w:r w:rsidR="00BA1D51">
        <w:t>(</w:t>
      </w:r>
      <w:r w:rsidR="00891CEA">
        <w:t>Ibn Qudamah, Al-Mughni, Beirut: Dar al-Kutub al-‘Ilmiyyah, Juz 2, hlm. 604)</w:t>
      </w:r>
    </w:p>
    <w:p w14:paraId="74DAFC6B" w14:textId="0250A171" w:rsidR="00A31E8B" w:rsidRDefault="00A31E8B" w:rsidP="00A31E8B">
      <w:pPr>
        <w:pStyle w:val="DaftarParagraf"/>
        <w:numPr>
          <w:ilvl w:val="0"/>
          <w:numId w:val="1"/>
        </w:numPr>
      </w:pPr>
      <w:r>
        <w:t>Dalil Pendapat Pertama</w:t>
      </w:r>
    </w:p>
    <w:p w14:paraId="10128890" w14:textId="3E9B1E74" w:rsidR="00A31E8B" w:rsidRDefault="00A31E8B">
      <w:r>
        <w:t xml:space="preserve">Hadis dari Aisyah r.a. bahwa Rasulullah </w:t>
      </w:r>
      <w:r>
        <w:rPr>
          <w:rtl/>
        </w:rPr>
        <w:t xml:space="preserve">ﷺ </w:t>
      </w:r>
      <w:r>
        <w:t>tidak pernah menambah sholat malam (termasuk tarawih) lebih dari 11 raka’at.</w:t>
      </w:r>
      <w:r w:rsidR="00891CEA">
        <w:t>(</w:t>
      </w:r>
      <w:r w:rsidR="0012160D">
        <w:t>Muhammad bin Ismail al-Bukhari, Shahih al-Bukhari, Kitab Tahajjud, No. 1147; Muslim bin al-Hajjaj, Shahih Muslim, No. 738)</w:t>
      </w:r>
    </w:p>
    <w:p w14:paraId="320DC12C" w14:textId="7E2E8BCF" w:rsidR="00A31E8B" w:rsidRDefault="00A31E8B" w:rsidP="00A31E8B">
      <w:pPr>
        <w:pStyle w:val="DaftarParagraf"/>
        <w:numPr>
          <w:ilvl w:val="0"/>
          <w:numId w:val="1"/>
        </w:numPr>
      </w:pPr>
      <w:r>
        <w:t>Dalil Pendapat Kedua</w:t>
      </w:r>
    </w:p>
    <w:p w14:paraId="54B88C0D" w14:textId="2953998A" w:rsidR="00A31E8B" w:rsidRDefault="00A31E8B">
      <w:r>
        <w:t>Praktik pada masa Umar bin Khattab r.a. yang mengumpulkan umat Islam untuk melaksanakan sholat tarawih berjamaah sebanyak 20 raka’at.</w:t>
      </w:r>
      <w:r w:rsidR="0012160D">
        <w:t>(</w:t>
      </w:r>
      <w:r w:rsidR="00164944">
        <w:t>Malik bin Anas, Al-Muwatta’, Kitab Shalat al-Layl fi Ramadan, No. 250; Al-Baihaqi, Sunan al-Kubra, Juz 2, hlm. 496.)</w:t>
      </w:r>
    </w:p>
    <w:p w14:paraId="46E1AB1C" w14:textId="596321FD" w:rsidR="00A31E8B" w:rsidRDefault="00A31E8B" w:rsidP="00A31E8B">
      <w:pPr>
        <w:pStyle w:val="DaftarParagraf"/>
        <w:numPr>
          <w:ilvl w:val="0"/>
          <w:numId w:val="1"/>
        </w:numPr>
      </w:pPr>
      <w:r>
        <w:t>Metode Pendapat Pertama</w:t>
      </w:r>
    </w:p>
    <w:p w14:paraId="5A6E2996" w14:textId="18FE9178" w:rsidR="00A31E8B" w:rsidRDefault="00A31E8B">
      <w:r>
        <w:t xml:space="preserve">Menggunakan metode ittiba’ sunnah Nabi secara langsung, yaitu berpegang pada hadis shahih yang menjelaskan praktik Rasulullah </w:t>
      </w:r>
      <w:r>
        <w:rPr>
          <w:rtl/>
        </w:rPr>
        <w:t>ﷺ.⁶</w:t>
      </w:r>
      <w:r w:rsidR="00164944">
        <w:rPr>
          <w:rtl/>
        </w:rPr>
        <w:t>(</w:t>
      </w:r>
      <w:r w:rsidR="001A5B5C">
        <w:rPr>
          <w:rtl/>
        </w:rPr>
        <w:t xml:space="preserve"> </w:t>
      </w:r>
      <w:r w:rsidR="001A5B5C">
        <w:t>Yusuf al-Qaradawi, Fiqh al-Ibadah, Kairo: Maktabah Wahbah, hlm. 215</w:t>
      </w:r>
      <w:r w:rsidR="001A5B5C">
        <w:rPr>
          <w:rtl/>
        </w:rPr>
        <w:t>.</w:t>
      </w:r>
    </w:p>
    <w:p w14:paraId="4F3E4638" w14:textId="3DF3E9F4" w:rsidR="00A31E8B" w:rsidRDefault="00A31E8B" w:rsidP="00A31E8B">
      <w:pPr>
        <w:pStyle w:val="DaftarParagraf"/>
        <w:numPr>
          <w:ilvl w:val="0"/>
          <w:numId w:val="1"/>
        </w:numPr>
      </w:pPr>
      <w:r>
        <w:t>Metode Pendapat Kedua</w:t>
      </w:r>
    </w:p>
    <w:p w14:paraId="2318AD4F" w14:textId="26ACE966" w:rsidR="00A31E8B" w:rsidRDefault="00A31E8B">
      <w:r>
        <w:t>Menggunakan metode ijma’ sahabat dan ijtihad, yaitu mengikuti kesepakatan dan kebijakan sahabat, khususnya Umar bin Khattab r.a.</w:t>
      </w:r>
      <w:r w:rsidR="001A5B5C">
        <w:t>(</w:t>
      </w:r>
      <w:r w:rsidR="005073AA">
        <w:t>Abdul Wahhab Khallaf, Ilmu Ushul Fiqh, Kairo: Dar al-Qalam, hlm. 96.)</w:t>
      </w:r>
    </w:p>
    <w:p w14:paraId="04BD76CF" w14:textId="5A12EB41" w:rsidR="00A31E8B" w:rsidRDefault="00A31E8B" w:rsidP="00A31E8B">
      <w:pPr>
        <w:pStyle w:val="DaftarParagraf"/>
        <w:numPr>
          <w:ilvl w:val="0"/>
          <w:numId w:val="1"/>
        </w:numPr>
      </w:pPr>
      <w:r>
        <w:t>Rujukan Pendapat Pertama</w:t>
      </w:r>
    </w:p>
    <w:p w14:paraId="7383A522" w14:textId="304479B4" w:rsidR="00A31E8B" w:rsidRDefault="00A31E8B">
      <w:r>
        <w:t>Hadis riwayat Bukhari No. 1147 dan Muslim No. 738 dari Aisyah r.a.</w:t>
      </w:r>
      <w:r w:rsidR="005073AA">
        <w:t>(</w:t>
      </w:r>
      <w:r w:rsidR="001F78A6">
        <w:t>Al-Bukhari dan Muslim, Shahihain (hadis Aisyah tentang jumlah raka’at Nabi)</w:t>
      </w:r>
    </w:p>
    <w:p w14:paraId="1C630390" w14:textId="2E235050" w:rsidR="00A31E8B" w:rsidRDefault="00A31E8B" w:rsidP="00A31E8B">
      <w:pPr>
        <w:pStyle w:val="DaftarParagraf"/>
        <w:numPr>
          <w:ilvl w:val="0"/>
          <w:numId w:val="1"/>
        </w:numPr>
      </w:pPr>
      <w:r>
        <w:t>Rujukan Pendapat Kedua</w:t>
      </w:r>
    </w:p>
    <w:p w14:paraId="1D8C68AE" w14:textId="6A7FD334" w:rsidR="00A31E8B" w:rsidRDefault="00A31E8B">
      <w:r>
        <w:t>Riwayat dari Umar bin Khattab r.a. serta praktik para sahabat pada masa beliau.</w:t>
      </w:r>
      <w:r w:rsidR="001F78A6">
        <w:t>(</w:t>
      </w:r>
      <w:r w:rsidR="00114A32">
        <w:t>Malik bin Anas, Al-Muwatta’; Ibn Abdil Barr, At-Tamhid, Juz 8, hlm. 115.)</w:t>
      </w:r>
    </w:p>
    <w:p w14:paraId="2E98ABFC" w14:textId="7B2A7966" w:rsidR="00A31E8B" w:rsidRDefault="00A31E8B" w:rsidP="00A31E8B">
      <w:pPr>
        <w:pStyle w:val="DaftarParagraf"/>
        <w:numPr>
          <w:ilvl w:val="0"/>
          <w:numId w:val="1"/>
        </w:numPr>
      </w:pPr>
      <w:r>
        <w:t>Analisis</w:t>
      </w:r>
    </w:p>
    <w:p w14:paraId="320AB50B" w14:textId="276E5DA7" w:rsidR="00A31E8B" w:rsidRDefault="00A31E8B">
      <w:r>
        <w:t>Kedua pendapat sama-sama memiliki dasar yang kuat. Pendapat 11 raka’at lebih menekankan pada kesesuaian langsung dengan sunnah Nabi, sedangkan pendapat 23 raka’at berlandaskan praktik sahabat dan ijma’. Dalam fiqih, keduanya dapat diamalkan sesuai keyakinan masing-masing karena tidak ada dalil yang secara tegas membatasi jumlah raka’at tarawih.</w:t>
      </w:r>
      <w:r w:rsidR="00114A32">
        <w:t>(</w:t>
      </w:r>
      <w:r w:rsidR="007B66E0">
        <w:t>Wahbah az-Zuhaili, Al-Fiqh al-Islami wa Adillatuhu, Juz 2, hlm. 45.)</w:t>
      </w:r>
    </w:p>
    <w:p w14:paraId="44C536C0" w14:textId="77777777" w:rsidR="00A31E8B" w:rsidRDefault="00A31E8B"/>
    <w:sectPr w:rsidR="00A31E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300AC9"/>
    <w:multiLevelType w:val="hybridMultilevel"/>
    <w:tmpl w:val="3B326126"/>
    <w:lvl w:ilvl="0" w:tplc="FFFFFFF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835799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3"/>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E8B"/>
    <w:rsid w:val="00114A32"/>
    <w:rsid w:val="0012160D"/>
    <w:rsid w:val="00164944"/>
    <w:rsid w:val="001A5B5C"/>
    <w:rsid w:val="001F78A6"/>
    <w:rsid w:val="005073AA"/>
    <w:rsid w:val="006507AC"/>
    <w:rsid w:val="007B66E0"/>
    <w:rsid w:val="00891CEA"/>
    <w:rsid w:val="00A31E8B"/>
    <w:rsid w:val="00BA1D51"/>
    <w:rsid w:val="00C65E94"/>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ecimalSymbol w:val=","/>
  <w:listSeparator w:val=";"/>
  <w14:docId w14:val="7C702013"/>
  <w15:chartTrackingRefBased/>
  <w15:docId w15:val="{A3ABE741-96AE-4246-BB3D-84A87F790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A31E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A31E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A31E8B"/>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A31E8B"/>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A31E8B"/>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A31E8B"/>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A31E8B"/>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A31E8B"/>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A31E8B"/>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A31E8B"/>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A31E8B"/>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A31E8B"/>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A31E8B"/>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A31E8B"/>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A31E8B"/>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A31E8B"/>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A31E8B"/>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A31E8B"/>
    <w:rPr>
      <w:rFonts w:eastAsiaTheme="majorEastAsia" w:cstheme="majorBidi"/>
      <w:color w:val="272727" w:themeColor="text1" w:themeTint="D8"/>
    </w:rPr>
  </w:style>
  <w:style w:type="paragraph" w:styleId="Judul">
    <w:name w:val="Title"/>
    <w:basedOn w:val="Normal"/>
    <w:next w:val="Normal"/>
    <w:link w:val="JudulKAR"/>
    <w:uiPriority w:val="10"/>
    <w:qFormat/>
    <w:rsid w:val="00A31E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A31E8B"/>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A31E8B"/>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A31E8B"/>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A31E8B"/>
    <w:pPr>
      <w:spacing w:before="160"/>
      <w:jc w:val="center"/>
    </w:pPr>
    <w:rPr>
      <w:i/>
      <w:iCs/>
      <w:color w:val="404040" w:themeColor="text1" w:themeTint="BF"/>
    </w:rPr>
  </w:style>
  <w:style w:type="character" w:customStyle="1" w:styleId="KutipanKAR">
    <w:name w:val="Kutipan KAR"/>
    <w:basedOn w:val="FontParagrafDefault"/>
    <w:link w:val="Kutipan"/>
    <w:uiPriority w:val="29"/>
    <w:rsid w:val="00A31E8B"/>
    <w:rPr>
      <w:i/>
      <w:iCs/>
      <w:color w:val="404040" w:themeColor="text1" w:themeTint="BF"/>
    </w:rPr>
  </w:style>
  <w:style w:type="paragraph" w:styleId="DaftarParagraf">
    <w:name w:val="List Paragraph"/>
    <w:basedOn w:val="Normal"/>
    <w:uiPriority w:val="34"/>
    <w:qFormat/>
    <w:rsid w:val="00A31E8B"/>
    <w:pPr>
      <w:ind w:left="720"/>
      <w:contextualSpacing/>
    </w:pPr>
  </w:style>
  <w:style w:type="character" w:styleId="PenekananKeras">
    <w:name w:val="Intense Emphasis"/>
    <w:basedOn w:val="FontParagrafDefault"/>
    <w:uiPriority w:val="21"/>
    <w:qFormat/>
    <w:rsid w:val="00A31E8B"/>
    <w:rPr>
      <w:i/>
      <w:iCs/>
      <w:color w:val="0F4761" w:themeColor="accent1" w:themeShade="BF"/>
    </w:rPr>
  </w:style>
  <w:style w:type="paragraph" w:styleId="KutipanyangSering">
    <w:name w:val="Intense Quote"/>
    <w:basedOn w:val="Normal"/>
    <w:next w:val="Normal"/>
    <w:link w:val="KutipanyangSeringKAR"/>
    <w:uiPriority w:val="30"/>
    <w:qFormat/>
    <w:rsid w:val="00A31E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A31E8B"/>
    <w:rPr>
      <w:i/>
      <w:iCs/>
      <w:color w:val="0F4761" w:themeColor="accent1" w:themeShade="BF"/>
    </w:rPr>
  </w:style>
  <w:style w:type="character" w:styleId="ReferensiyangSering">
    <w:name w:val="Intense Reference"/>
    <w:basedOn w:val="FontParagrafDefault"/>
    <w:uiPriority w:val="32"/>
    <w:qFormat/>
    <w:rsid w:val="00A31E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359</Words>
  <Characters>2049</Characters>
  <Application>Microsoft Office Word</Application>
  <DocSecurity>0</DocSecurity>
  <Lines>17</Lines>
  <Paragraphs>4</Paragraphs>
  <ScaleCrop>false</ScaleCrop>
  <Company/>
  <LinksUpToDate>false</LinksUpToDate>
  <CharactersWithSpaces>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indonesia6262627331@gmail.com</dc:creator>
  <cp:keywords/>
  <dc:description/>
  <cp:lastModifiedBy>indonesia6262627331@gmail.com</cp:lastModifiedBy>
  <cp:revision>2</cp:revision>
  <dcterms:created xsi:type="dcterms:W3CDTF">2026-04-27T03:43:00Z</dcterms:created>
  <dcterms:modified xsi:type="dcterms:W3CDTF">2026-04-27T03:43:00Z</dcterms:modified>
</cp:coreProperties>
</file>