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47B7" w14:textId="77777777" w:rsidR="00A746EE" w:rsidRPr="007103E2" w:rsidRDefault="00A746EE" w:rsidP="007103E2">
      <w:pPr>
        <w:spacing w:after="120" w:line="240" w:lineRule="auto"/>
        <w:rPr>
          <w:b/>
          <w:lang w:val="id-ID"/>
        </w:rPr>
      </w:pPr>
      <w:r w:rsidRPr="007103E2">
        <w:rPr>
          <w:b/>
          <w:lang w:val="id-ID"/>
        </w:rPr>
        <w:t>Nama</w:t>
      </w:r>
      <w:r w:rsidRPr="007103E2">
        <w:rPr>
          <w:b/>
          <w:lang w:val="id-ID"/>
        </w:rPr>
        <w:tab/>
      </w:r>
      <w:r w:rsidRPr="007103E2">
        <w:rPr>
          <w:b/>
          <w:lang w:val="id-ID"/>
        </w:rPr>
        <w:tab/>
        <w:t>: Amanda Rifqiyah</w:t>
      </w:r>
    </w:p>
    <w:p w14:paraId="3853DF56" w14:textId="1D86C94B" w:rsidR="0080394B" w:rsidRPr="007103E2" w:rsidRDefault="00A746EE" w:rsidP="007103E2">
      <w:pPr>
        <w:spacing w:after="120" w:line="240" w:lineRule="auto"/>
        <w:rPr>
          <w:lang w:val="id-ID"/>
        </w:rPr>
      </w:pPr>
      <w:r w:rsidRPr="007103E2">
        <w:rPr>
          <w:b/>
          <w:lang w:val="id-ID"/>
        </w:rPr>
        <w:t>Mata Kuliah</w:t>
      </w:r>
      <w:r w:rsidRPr="007103E2">
        <w:rPr>
          <w:b/>
          <w:lang w:val="id-ID"/>
        </w:rPr>
        <w:tab/>
        <w:t>: Masailul Fiqhiyah Tentang</w:t>
      </w:r>
      <w:r w:rsidR="00000000" w:rsidRPr="007103E2">
        <w:rPr>
          <w:b/>
          <w:lang w:val="id-ID"/>
        </w:rPr>
        <w:t xml:space="preserve"> Hukum Operasi Plastik dalam Islam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0394B" w:rsidRPr="007103E2" w14:paraId="704B74FC" w14:textId="77777777" w:rsidTr="00710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4ABB49F" w14:textId="67A11BB7" w:rsidR="0080394B" w:rsidRPr="007103E2" w:rsidRDefault="00000000" w:rsidP="007103E2">
            <w:pPr>
              <w:jc w:val="center"/>
              <w:rPr>
                <w:b w:val="0"/>
                <w:bCs w:val="0"/>
                <w:lang w:val="id-ID"/>
              </w:rPr>
            </w:pPr>
            <w:r w:rsidRPr="007103E2">
              <w:rPr>
                <w:b w:val="0"/>
                <w:bCs w:val="0"/>
                <w:lang w:val="id-ID"/>
              </w:rPr>
              <w:t>Pertanyaan</w:t>
            </w:r>
          </w:p>
        </w:tc>
        <w:tc>
          <w:tcPr>
            <w:tcW w:w="2880" w:type="dxa"/>
            <w:vAlign w:val="center"/>
          </w:tcPr>
          <w:p w14:paraId="4A3CEB16" w14:textId="77777777" w:rsidR="0080394B" w:rsidRPr="007103E2" w:rsidRDefault="00000000" w:rsidP="00710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id-ID"/>
              </w:rPr>
            </w:pPr>
            <w:r w:rsidRPr="007103E2">
              <w:rPr>
                <w:b w:val="0"/>
                <w:bCs w:val="0"/>
                <w:lang w:val="id-ID"/>
              </w:rPr>
              <w:t>Jawaban</w:t>
            </w:r>
          </w:p>
        </w:tc>
        <w:tc>
          <w:tcPr>
            <w:tcW w:w="2880" w:type="dxa"/>
            <w:vAlign w:val="center"/>
          </w:tcPr>
          <w:p w14:paraId="1E139518" w14:textId="743BC0A0" w:rsidR="0080394B" w:rsidRPr="007103E2" w:rsidRDefault="00000000" w:rsidP="00710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id-ID"/>
              </w:rPr>
            </w:pPr>
            <w:r w:rsidRPr="007103E2">
              <w:rPr>
                <w:b w:val="0"/>
                <w:bCs w:val="0"/>
                <w:lang w:val="id-ID"/>
              </w:rPr>
              <w:t>Referensi</w:t>
            </w:r>
          </w:p>
        </w:tc>
      </w:tr>
      <w:tr w:rsidR="0080394B" w:rsidRPr="007103E2" w14:paraId="23FBE4D4" w14:textId="77777777" w:rsidTr="00710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3DB64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1. Masalah</w:t>
            </w:r>
          </w:p>
        </w:tc>
        <w:tc>
          <w:tcPr>
            <w:tcW w:w="2880" w:type="dxa"/>
          </w:tcPr>
          <w:p w14:paraId="6F9437E8" w14:textId="18708BDE" w:rsidR="0080394B" w:rsidRPr="007103E2" w:rsidRDefault="00000000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Hukum operasi plastik dalam Islam</w:t>
            </w:r>
          </w:p>
        </w:tc>
        <w:tc>
          <w:tcPr>
            <w:tcW w:w="2880" w:type="dxa"/>
          </w:tcPr>
          <w:p w14:paraId="2431C268" w14:textId="30B27D0B" w:rsidR="0080394B" w:rsidRPr="007103E2" w:rsidRDefault="0080394B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394B" w:rsidRPr="007103E2" w14:paraId="1F272AE5" w14:textId="77777777" w:rsidTr="00710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652B7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2. Pendapat pertama</w:t>
            </w:r>
          </w:p>
        </w:tc>
        <w:tc>
          <w:tcPr>
            <w:tcW w:w="2880" w:type="dxa"/>
          </w:tcPr>
          <w:p w14:paraId="691FE4B6" w14:textId="77777777" w:rsidR="0080394B" w:rsidRPr="007103E2" w:rsidRDefault="00000000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Mubah (boleh) jika untuk pengobatan atau memperbaiki cacat.</w:t>
            </w:r>
          </w:p>
        </w:tc>
        <w:tc>
          <w:tcPr>
            <w:tcW w:w="2880" w:type="dxa"/>
          </w:tcPr>
          <w:p w14:paraId="0795F6BB" w14:textId="77777777" w:rsidR="0080394B" w:rsidRPr="007103E2" w:rsidRDefault="00000000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Yusuf Al-Qaradawi, Al-Halal wal Haram fil Islam.</w:t>
            </w:r>
          </w:p>
        </w:tc>
      </w:tr>
      <w:tr w:rsidR="0080394B" w:rsidRPr="007103E2" w14:paraId="7EA4665B" w14:textId="77777777" w:rsidTr="00710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A54731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3. Pendapat kedua</w:t>
            </w:r>
          </w:p>
        </w:tc>
        <w:tc>
          <w:tcPr>
            <w:tcW w:w="2880" w:type="dxa"/>
          </w:tcPr>
          <w:p w14:paraId="2BA8FEE4" w14:textId="77777777" w:rsidR="0080394B" w:rsidRPr="007103E2" w:rsidRDefault="00000000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Haram jika hanya untuk kecantikan tanpa kebutuhan medis.</w:t>
            </w:r>
          </w:p>
        </w:tc>
        <w:tc>
          <w:tcPr>
            <w:tcW w:w="2880" w:type="dxa"/>
          </w:tcPr>
          <w:p w14:paraId="0D472D60" w14:textId="77777777" w:rsidR="0080394B" w:rsidRPr="007103E2" w:rsidRDefault="00000000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Imam An-Nawawi, Syarh Shahih Muslim.</w:t>
            </w:r>
          </w:p>
        </w:tc>
      </w:tr>
      <w:tr w:rsidR="0080394B" w:rsidRPr="007103E2" w14:paraId="76C84CAC" w14:textId="77777777" w:rsidTr="00710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7B0E4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4. Dalil pendapat pertama</w:t>
            </w:r>
          </w:p>
        </w:tc>
        <w:tc>
          <w:tcPr>
            <w:tcW w:w="2880" w:type="dxa"/>
          </w:tcPr>
          <w:p w14:paraId="6CB01A0B" w14:textId="75FC9063" w:rsidR="00253EE1" w:rsidRPr="007103E2" w:rsidRDefault="00253EE1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Dalil Hadits:</w:t>
            </w:r>
          </w:p>
          <w:p w14:paraId="5049C9CF" w14:textId="1F6B267C" w:rsidR="0080394B" w:rsidRPr="007103E2" w:rsidRDefault="00253EE1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تَدَاوَوْا فَإِنَّ اللَّهَ عَزَّ وَجَلَّ لَمْ يَضَعْ دَاءً إِلاَّ وَضَعَ لَهُ دَوَاءً</w:t>
            </w:r>
          </w:p>
        </w:tc>
        <w:tc>
          <w:tcPr>
            <w:tcW w:w="2880" w:type="dxa"/>
          </w:tcPr>
          <w:p w14:paraId="39CFDFC5" w14:textId="7D95C6E7" w:rsidR="0080394B" w:rsidRPr="007103E2" w:rsidRDefault="00510573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Riwayat Abu Daud dan Tirmidzi</w:t>
            </w:r>
          </w:p>
        </w:tc>
      </w:tr>
      <w:tr w:rsidR="0080394B" w:rsidRPr="007103E2" w14:paraId="78536477" w14:textId="77777777" w:rsidTr="00710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3266F4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5. Dalil pendapat kedua</w:t>
            </w:r>
          </w:p>
        </w:tc>
        <w:tc>
          <w:tcPr>
            <w:tcW w:w="2880" w:type="dxa"/>
          </w:tcPr>
          <w:p w14:paraId="218B9DB0" w14:textId="77777777" w:rsidR="0080394B" w:rsidRPr="007103E2" w:rsidRDefault="00000000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QS. An-Nisa:119</w:t>
            </w:r>
          </w:p>
          <w:p w14:paraId="11A4A43E" w14:textId="478F3699" w:rsidR="00253EE1" w:rsidRPr="007103E2" w:rsidRDefault="00253EE1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وَلَاٰمُرَنَّهُمْ فَلَيُغَيِّرُنَّ خَلْقَ اللّٰهِ</w:t>
            </w:r>
          </w:p>
        </w:tc>
        <w:tc>
          <w:tcPr>
            <w:tcW w:w="2880" w:type="dxa"/>
          </w:tcPr>
          <w:p w14:paraId="743D8CE7" w14:textId="7E08C79D" w:rsidR="0080394B" w:rsidRPr="007103E2" w:rsidRDefault="00510573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Al-Qur’an surah An-Nisa’ ayat 119</w:t>
            </w:r>
          </w:p>
        </w:tc>
      </w:tr>
      <w:tr w:rsidR="0080394B" w:rsidRPr="007103E2" w14:paraId="274963AA" w14:textId="77777777" w:rsidTr="00710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20E76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6. Metode pendapat pertama</w:t>
            </w:r>
          </w:p>
        </w:tc>
        <w:tc>
          <w:tcPr>
            <w:tcW w:w="2880" w:type="dxa"/>
          </w:tcPr>
          <w:p w14:paraId="2B3187A1" w14:textId="0B5AFCE2" w:rsidR="0080394B" w:rsidRPr="007103E2" w:rsidRDefault="00510573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metode istinbath ta‘lili (qiyas/analogi)</w:t>
            </w:r>
            <w:r w:rsidR="00000000" w:rsidRPr="007103E2">
              <w:rPr>
                <w:rFonts w:ascii="Times New Roman" w:hAnsi="Times New Roman" w:cs="Times New Roman"/>
                <w:lang w:val="id-ID"/>
              </w:rPr>
              <w:t>.</w:t>
            </w:r>
          </w:p>
        </w:tc>
        <w:tc>
          <w:tcPr>
            <w:tcW w:w="2880" w:type="dxa"/>
          </w:tcPr>
          <w:p w14:paraId="262CFF43" w14:textId="673941BE" w:rsidR="0080394B" w:rsidRPr="007103E2" w:rsidRDefault="00510573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 xml:space="preserve">Wahbah Az-Zuhaili,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Al-Fiqh al-Islami wa Adillatuhu</w:t>
            </w:r>
          </w:p>
        </w:tc>
      </w:tr>
      <w:tr w:rsidR="0080394B" w:rsidRPr="007103E2" w14:paraId="4FB06859" w14:textId="77777777" w:rsidTr="00710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813EAF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7. Metode pendapat kedua</w:t>
            </w:r>
          </w:p>
        </w:tc>
        <w:tc>
          <w:tcPr>
            <w:tcW w:w="2880" w:type="dxa"/>
          </w:tcPr>
          <w:p w14:paraId="0A4E95D2" w14:textId="13AF29CE" w:rsidR="0080394B" w:rsidRPr="007103E2" w:rsidRDefault="00510573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metode istinbath lafzhi (tekstual/nash langsung)</w:t>
            </w:r>
          </w:p>
        </w:tc>
        <w:tc>
          <w:tcPr>
            <w:tcW w:w="2880" w:type="dxa"/>
          </w:tcPr>
          <w:p w14:paraId="03D64F64" w14:textId="730993B8" w:rsidR="0080394B" w:rsidRPr="007103E2" w:rsidRDefault="00510573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 xml:space="preserve">Al-Qurthubi,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Al-Jami’ li Ahkam al-Qur’an</w:t>
            </w:r>
            <w:r w:rsidR="00000000" w:rsidRPr="007103E2">
              <w:rPr>
                <w:rFonts w:ascii="Times New Roman" w:hAnsi="Times New Roman" w:cs="Times New Roman"/>
                <w:lang w:val="id-ID"/>
              </w:rPr>
              <w:t>.</w:t>
            </w:r>
          </w:p>
        </w:tc>
      </w:tr>
      <w:tr w:rsidR="0080394B" w:rsidRPr="007103E2" w14:paraId="22541C2F" w14:textId="77777777" w:rsidTr="00710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000F0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8. Alasan pendapat pertama</w:t>
            </w:r>
          </w:p>
        </w:tc>
        <w:tc>
          <w:tcPr>
            <w:tcW w:w="2880" w:type="dxa"/>
          </w:tcPr>
          <w:p w14:paraId="3E50D287" w14:textId="5A89D8B3" w:rsidR="0080394B" w:rsidRPr="007103E2" w:rsidRDefault="00510573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D</w:t>
            </w:r>
            <w:r w:rsidRPr="007103E2">
              <w:rPr>
                <w:rFonts w:ascii="Times New Roman" w:hAnsi="Times New Roman" w:cs="Times New Roman"/>
                <w:lang w:val="id-ID"/>
              </w:rPr>
              <w:t xml:space="preserve">iperbolehkan karena termasuk bagian dari pengobatan (ikhtiar medis) untuk menghilangkan cacat, memperbaiki fungsi tubuh, atau mengatasi gangguan kesehatan. </w:t>
            </w:r>
          </w:p>
        </w:tc>
        <w:tc>
          <w:tcPr>
            <w:tcW w:w="2880" w:type="dxa"/>
          </w:tcPr>
          <w:p w14:paraId="3DA948A1" w14:textId="1FDC63DC" w:rsidR="0080394B" w:rsidRPr="007103E2" w:rsidRDefault="00510573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 xml:space="preserve">Yusuf Al-Qaradawi,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Al-Halal wal Haram fil Islam</w:t>
            </w:r>
          </w:p>
        </w:tc>
      </w:tr>
      <w:tr w:rsidR="0080394B" w:rsidRPr="007103E2" w14:paraId="35CF2505" w14:textId="77777777" w:rsidTr="00710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A0CCC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9. Alasan pendapat kedua</w:t>
            </w:r>
          </w:p>
        </w:tc>
        <w:tc>
          <w:tcPr>
            <w:tcW w:w="2880" w:type="dxa"/>
          </w:tcPr>
          <w:p w14:paraId="555999CB" w14:textId="29FB6498" w:rsidR="0080394B" w:rsidRPr="007103E2" w:rsidRDefault="00510573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T</w:t>
            </w:r>
            <w:r w:rsidRPr="007103E2">
              <w:rPr>
                <w:rFonts w:ascii="Times New Roman" w:hAnsi="Times New Roman" w:cs="Times New Roman"/>
                <w:lang w:val="id-ID"/>
              </w:rPr>
              <w:t>idak diperbolehkan karena termasuk mengubah ciptaan Allah tanpa kebutuhan yang mendesak. terutama jika tujuannya hanya untuk mempercantik diri, bukan karena alasan medis.</w:t>
            </w:r>
          </w:p>
        </w:tc>
        <w:tc>
          <w:tcPr>
            <w:tcW w:w="2880" w:type="dxa"/>
          </w:tcPr>
          <w:p w14:paraId="696DD69D" w14:textId="11EACBF8" w:rsidR="0080394B" w:rsidRPr="007103E2" w:rsidRDefault="00025585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 xml:space="preserve">Al-Qurthubi,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Al-Jami’ li Ahkam al-Qur’an</w:t>
            </w:r>
            <w:r w:rsidR="00000000" w:rsidRPr="007103E2">
              <w:rPr>
                <w:rFonts w:ascii="Times New Roman" w:hAnsi="Times New Roman" w:cs="Times New Roman"/>
                <w:lang w:val="id-ID"/>
              </w:rPr>
              <w:t>.</w:t>
            </w:r>
          </w:p>
        </w:tc>
      </w:tr>
      <w:tr w:rsidR="0080394B" w:rsidRPr="007103E2" w14:paraId="4F5D9FD4" w14:textId="77777777" w:rsidTr="00710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CBFE71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10. Kelemahan pendapat pertama</w:t>
            </w:r>
          </w:p>
        </w:tc>
        <w:tc>
          <w:tcPr>
            <w:tcW w:w="2880" w:type="dxa"/>
          </w:tcPr>
          <w:p w14:paraId="3AED15C9" w14:textId="77777777" w:rsidR="0080394B" w:rsidRPr="007103E2" w:rsidRDefault="00000000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Sulit membedakan kebutuhan dan keinginan.</w:t>
            </w:r>
          </w:p>
        </w:tc>
        <w:tc>
          <w:tcPr>
            <w:tcW w:w="2880" w:type="dxa"/>
          </w:tcPr>
          <w:p w14:paraId="3469869A" w14:textId="5294EEFC" w:rsidR="0080394B" w:rsidRPr="007103E2" w:rsidRDefault="00025585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 xml:space="preserve">Yusuf Al-Qaradawi,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Al-Halal wal Haram fil Islam</w:t>
            </w:r>
            <w:r w:rsidR="00000000" w:rsidRPr="007103E2">
              <w:rPr>
                <w:rFonts w:ascii="Times New Roman" w:hAnsi="Times New Roman" w:cs="Times New Roman"/>
                <w:lang w:val="id-ID"/>
              </w:rPr>
              <w:t>.</w:t>
            </w:r>
          </w:p>
        </w:tc>
      </w:tr>
      <w:tr w:rsidR="0080394B" w:rsidRPr="007103E2" w14:paraId="30FBCAB9" w14:textId="77777777" w:rsidTr="00710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978B5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11. Kelemahan pendapat kedua</w:t>
            </w:r>
          </w:p>
        </w:tc>
        <w:tc>
          <w:tcPr>
            <w:tcW w:w="2880" w:type="dxa"/>
          </w:tcPr>
          <w:p w14:paraId="2D2898CA" w14:textId="03A7D248" w:rsidR="0080394B" w:rsidRPr="007103E2" w:rsidRDefault="00025585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T</w:t>
            </w:r>
            <w:r w:rsidRPr="007103E2">
              <w:rPr>
                <w:rFonts w:ascii="Times New Roman" w:hAnsi="Times New Roman" w:cs="Times New Roman"/>
                <w:lang w:val="id-ID"/>
              </w:rPr>
              <w:t>erlalu umum dalam memahami larangan mengubah ciptaan Allah, sehingga bisa mengabaikan kondisi darurat atau kebutuhan medis.</w:t>
            </w:r>
          </w:p>
        </w:tc>
        <w:tc>
          <w:tcPr>
            <w:tcW w:w="2880" w:type="dxa"/>
          </w:tcPr>
          <w:p w14:paraId="1797DB0F" w14:textId="77777777" w:rsidR="00025585" w:rsidRPr="00025585" w:rsidRDefault="00025585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025585">
              <w:rPr>
                <w:rFonts w:ascii="Times New Roman" w:hAnsi="Times New Roman" w:cs="Times New Roman"/>
                <w:lang w:val="id-ID"/>
              </w:rPr>
              <w:t xml:space="preserve">Wahbah Az-Zuhaili, </w:t>
            </w:r>
            <w:r w:rsidRPr="00025585">
              <w:rPr>
                <w:rFonts w:ascii="Times New Roman" w:hAnsi="Times New Roman" w:cs="Times New Roman"/>
                <w:i/>
                <w:iCs/>
                <w:lang w:val="id-ID"/>
              </w:rPr>
              <w:t>Al-Fiqh al-Islami wa Adillatuhu</w:t>
            </w:r>
            <w:r w:rsidRPr="00025585">
              <w:rPr>
                <w:rFonts w:ascii="Times New Roman" w:hAnsi="Times New Roman" w:cs="Times New Roman"/>
                <w:lang w:val="id-ID"/>
              </w:rPr>
              <w:t xml:space="preserve"> </w:t>
            </w:r>
          </w:p>
          <w:p w14:paraId="097A397B" w14:textId="348619C8" w:rsidR="0080394B" w:rsidRPr="007103E2" w:rsidRDefault="0080394B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394B" w:rsidRPr="007103E2" w14:paraId="76D4CEEA" w14:textId="77777777" w:rsidTr="00710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9CE709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12. Kekuatan pendapat pertama</w:t>
            </w:r>
          </w:p>
        </w:tc>
        <w:tc>
          <w:tcPr>
            <w:tcW w:w="2880" w:type="dxa"/>
          </w:tcPr>
          <w:p w14:paraId="0C581738" w14:textId="3EEF084B" w:rsidR="0080394B" w:rsidRPr="007103E2" w:rsidRDefault="00025585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fleksibilitas hukum Islam dalam menghadapi kebutuhan medis</w:t>
            </w:r>
          </w:p>
        </w:tc>
        <w:tc>
          <w:tcPr>
            <w:tcW w:w="2880" w:type="dxa"/>
          </w:tcPr>
          <w:p w14:paraId="2A7F75BE" w14:textId="2821865E" w:rsidR="0080394B" w:rsidRPr="007103E2" w:rsidRDefault="00025585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 xml:space="preserve">Wahbah Az-Zuhaili,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Al-Fiqh al-Islami wa Adillatuhu</w:t>
            </w:r>
          </w:p>
        </w:tc>
      </w:tr>
      <w:tr w:rsidR="0080394B" w:rsidRPr="007103E2" w14:paraId="31FBAAC5" w14:textId="77777777" w:rsidTr="00710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12DF7E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13. Kekuatan pendapat kedua</w:t>
            </w:r>
          </w:p>
        </w:tc>
        <w:tc>
          <w:tcPr>
            <w:tcW w:w="2880" w:type="dxa"/>
          </w:tcPr>
          <w:p w14:paraId="3814C19C" w14:textId="67F8E2B0" w:rsidR="0080394B" w:rsidRPr="007103E2" w:rsidRDefault="00025585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K</w:t>
            </w:r>
            <w:r w:rsidRPr="007103E2">
              <w:rPr>
                <w:rFonts w:ascii="Times New Roman" w:hAnsi="Times New Roman" w:cs="Times New Roman"/>
                <w:lang w:val="id-ID"/>
              </w:rPr>
              <w:t xml:space="preserve">etegasan dalam menjaga kemurnian ciptaan Allah dan </w:t>
            </w:r>
            <w:r w:rsidRPr="007103E2">
              <w:rPr>
                <w:rFonts w:ascii="Times New Roman" w:hAnsi="Times New Roman" w:cs="Times New Roman"/>
                <w:lang w:val="id-ID"/>
              </w:rPr>
              <w:lastRenderedPageBreak/>
              <w:t>kehati-hatian dalam hukum (ihtiyath)</w:t>
            </w:r>
          </w:p>
        </w:tc>
        <w:tc>
          <w:tcPr>
            <w:tcW w:w="2880" w:type="dxa"/>
          </w:tcPr>
          <w:p w14:paraId="0F54598A" w14:textId="5521093F" w:rsidR="0080394B" w:rsidRPr="007103E2" w:rsidRDefault="00025585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lastRenderedPageBreak/>
              <w:t xml:space="preserve">Ibnu Katsir,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Tafsir Al-Qur’an Al-‘Azhim</w:t>
            </w:r>
          </w:p>
        </w:tc>
      </w:tr>
      <w:tr w:rsidR="0080394B" w:rsidRPr="007103E2" w14:paraId="5F883BC1" w14:textId="77777777" w:rsidTr="00710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324C8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lastRenderedPageBreak/>
              <w:t>14. Persamaan</w:t>
            </w:r>
          </w:p>
        </w:tc>
        <w:tc>
          <w:tcPr>
            <w:tcW w:w="2880" w:type="dxa"/>
          </w:tcPr>
          <w:p w14:paraId="2536BEA3" w14:textId="272555FE" w:rsidR="0080394B" w:rsidRPr="007103E2" w:rsidRDefault="00025585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S</w:t>
            </w:r>
            <w:r w:rsidRPr="007103E2">
              <w:rPr>
                <w:rFonts w:ascii="Times New Roman" w:hAnsi="Times New Roman" w:cs="Times New Roman"/>
                <w:lang w:val="id-ID"/>
              </w:rPr>
              <w:t>ama-sama bertujuan menjaga kemaslahatan manusia dan berpegang pada dalil syariat (Al-Qur’an dan Hadis)</w:t>
            </w:r>
          </w:p>
        </w:tc>
        <w:tc>
          <w:tcPr>
            <w:tcW w:w="2880" w:type="dxa"/>
          </w:tcPr>
          <w:p w14:paraId="403C2C9C" w14:textId="29BA39E9" w:rsidR="0080394B" w:rsidRPr="007103E2" w:rsidRDefault="00A746EE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 xml:space="preserve">Wahbah Az-Zuhaili,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Al-Fiqh al-Islami wa Adillatuhu</w:t>
            </w:r>
          </w:p>
        </w:tc>
      </w:tr>
      <w:tr w:rsidR="0080394B" w:rsidRPr="007103E2" w14:paraId="1652687B" w14:textId="77777777" w:rsidTr="00710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694836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15. Ulama yang membolehkan</w:t>
            </w:r>
          </w:p>
        </w:tc>
        <w:tc>
          <w:tcPr>
            <w:tcW w:w="2880" w:type="dxa"/>
          </w:tcPr>
          <w:p w14:paraId="2FEE24DF" w14:textId="77777777" w:rsidR="00A746EE" w:rsidRPr="007103E2" w:rsidRDefault="00000000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Yusuf Al-Qaradawi</w:t>
            </w:r>
          </w:p>
          <w:p w14:paraId="4A040513" w14:textId="6A7E68FB" w:rsidR="00A746EE" w:rsidRPr="007103E2" w:rsidRDefault="00000000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Wahbah Az-Zuhaili</w:t>
            </w:r>
          </w:p>
        </w:tc>
        <w:tc>
          <w:tcPr>
            <w:tcW w:w="2880" w:type="dxa"/>
          </w:tcPr>
          <w:p w14:paraId="39EAB24C" w14:textId="77777777" w:rsidR="00A746EE" w:rsidRPr="007103E2" w:rsidRDefault="00A746EE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id-ID"/>
              </w:rPr>
            </w:pPr>
            <w:r w:rsidRPr="00A746EE">
              <w:rPr>
                <w:rFonts w:ascii="Times New Roman" w:hAnsi="Times New Roman" w:cs="Times New Roman"/>
                <w:lang w:val="id-ID"/>
              </w:rPr>
              <w:t xml:space="preserve">Yusuf al-Qaradawi, </w:t>
            </w:r>
            <w:r w:rsidRPr="00A746EE">
              <w:rPr>
                <w:rFonts w:ascii="Times New Roman" w:hAnsi="Times New Roman" w:cs="Times New Roman"/>
                <w:i/>
                <w:iCs/>
                <w:lang w:val="id-ID"/>
              </w:rPr>
              <w:t>Al-Halal wal Haram fil Islam</w:t>
            </w:r>
          </w:p>
          <w:p w14:paraId="1743925B" w14:textId="784CEB45" w:rsidR="0080394B" w:rsidRPr="007103E2" w:rsidRDefault="00A746EE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 xml:space="preserve">Wahbah az-Zuhaili,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Al-Fiqh al-Islami wa Adillatuhu</w:t>
            </w:r>
          </w:p>
        </w:tc>
      </w:tr>
      <w:tr w:rsidR="0080394B" w:rsidRPr="007103E2" w14:paraId="6AA84A87" w14:textId="77777777" w:rsidTr="00710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7EEBBB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16. Ulama yang mengharamkan</w:t>
            </w:r>
          </w:p>
        </w:tc>
        <w:tc>
          <w:tcPr>
            <w:tcW w:w="2880" w:type="dxa"/>
          </w:tcPr>
          <w:p w14:paraId="31F5A2F7" w14:textId="77777777" w:rsidR="0080394B" w:rsidRPr="007103E2" w:rsidRDefault="00A746EE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Abd al-Aziz ibn Baz</w:t>
            </w:r>
          </w:p>
          <w:p w14:paraId="0A2655DB" w14:textId="1F56B064" w:rsidR="00A746EE" w:rsidRPr="007103E2" w:rsidRDefault="00A746EE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Muhammad ibn Salih al-Uthaymin</w:t>
            </w:r>
          </w:p>
        </w:tc>
        <w:tc>
          <w:tcPr>
            <w:tcW w:w="2880" w:type="dxa"/>
          </w:tcPr>
          <w:p w14:paraId="21C286D1" w14:textId="152D1996" w:rsidR="00A746EE" w:rsidRPr="00A746EE" w:rsidRDefault="00A746EE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A746EE">
              <w:rPr>
                <w:rFonts w:ascii="Times New Roman" w:hAnsi="Times New Roman" w:cs="Times New Roman"/>
                <w:lang w:val="id-ID"/>
              </w:rPr>
              <w:t xml:space="preserve">Fatwa Abd al-Aziz ibn Baz, </w:t>
            </w:r>
            <w:r w:rsidRPr="00A746EE">
              <w:rPr>
                <w:rFonts w:ascii="Times New Roman" w:hAnsi="Times New Roman" w:cs="Times New Roman"/>
                <w:i/>
                <w:iCs/>
                <w:lang w:val="id-ID"/>
              </w:rPr>
              <w:t>Majmu’ Fatawa</w:t>
            </w:r>
            <w:r w:rsidRPr="00A746EE">
              <w:rPr>
                <w:rFonts w:ascii="Times New Roman" w:hAnsi="Times New Roman" w:cs="Times New Roman"/>
                <w:lang w:val="id-ID"/>
              </w:rPr>
              <w:t xml:space="preserve"> </w:t>
            </w:r>
          </w:p>
          <w:p w14:paraId="7BB85BD7" w14:textId="30B1BE32" w:rsidR="0080394B" w:rsidRPr="007103E2" w:rsidRDefault="00A746EE" w:rsidP="00A74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 xml:space="preserve">Muhammad ibn Salih al-Uthaymin, </w:t>
            </w:r>
            <w:r w:rsidRPr="007103E2">
              <w:rPr>
                <w:rFonts w:ascii="Times New Roman" w:hAnsi="Times New Roman" w:cs="Times New Roman"/>
                <w:i/>
                <w:iCs/>
                <w:lang w:val="id-ID"/>
              </w:rPr>
              <w:t>Fatawa Nur ‘ala ad-Darb</w:t>
            </w:r>
          </w:p>
        </w:tc>
      </w:tr>
      <w:tr w:rsidR="0080394B" w:rsidRPr="007103E2" w14:paraId="05641C78" w14:textId="77777777" w:rsidTr="00710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00DF5" w14:textId="77777777" w:rsidR="0080394B" w:rsidRPr="007103E2" w:rsidRDefault="00000000" w:rsidP="00A746EE">
            <w:pPr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17. Analisis pribadi</w:t>
            </w:r>
          </w:p>
        </w:tc>
        <w:tc>
          <w:tcPr>
            <w:tcW w:w="2880" w:type="dxa"/>
          </w:tcPr>
          <w:p w14:paraId="156465F2" w14:textId="2B18CF2C" w:rsidR="0080394B" w:rsidRPr="007103E2" w:rsidRDefault="00A746EE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7103E2">
              <w:rPr>
                <w:rFonts w:ascii="Times New Roman" w:hAnsi="Times New Roman" w:cs="Times New Roman"/>
                <w:lang w:val="id-ID"/>
              </w:rPr>
              <w:t>Hukum operasi plastik itu tergantung tujuan dan kondisi, bukan mutlak boleh atau haram</w:t>
            </w:r>
            <w:r w:rsidR="00000000" w:rsidRPr="007103E2">
              <w:rPr>
                <w:rFonts w:ascii="Times New Roman" w:hAnsi="Times New Roman" w:cs="Times New Roman"/>
                <w:lang w:val="id-ID"/>
              </w:rPr>
              <w:t>.</w:t>
            </w:r>
          </w:p>
        </w:tc>
        <w:tc>
          <w:tcPr>
            <w:tcW w:w="2880" w:type="dxa"/>
          </w:tcPr>
          <w:p w14:paraId="47A7A4A5" w14:textId="65B9DDC7" w:rsidR="0080394B" w:rsidRPr="007103E2" w:rsidRDefault="0080394B" w:rsidP="00A74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6CA4E8DB" w14:textId="77777777" w:rsidR="0080394B" w:rsidRPr="007103E2" w:rsidRDefault="0080394B" w:rsidP="00A746EE">
      <w:pPr>
        <w:spacing w:after="0" w:line="240" w:lineRule="auto"/>
        <w:rPr>
          <w:rFonts w:ascii="Times New Roman" w:hAnsi="Times New Roman" w:cs="Times New Roman"/>
          <w:lang w:val="id-ID"/>
        </w:rPr>
      </w:pPr>
    </w:p>
    <w:p w14:paraId="6670D829" w14:textId="20678CC2" w:rsidR="0080394B" w:rsidRDefault="0080394B"/>
    <w:sectPr w:rsidR="008039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755755"/>
    <w:multiLevelType w:val="multilevel"/>
    <w:tmpl w:val="401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644782">
    <w:abstractNumId w:val="8"/>
  </w:num>
  <w:num w:numId="2" w16cid:durableId="1310553844">
    <w:abstractNumId w:val="6"/>
  </w:num>
  <w:num w:numId="3" w16cid:durableId="487289465">
    <w:abstractNumId w:val="5"/>
  </w:num>
  <w:num w:numId="4" w16cid:durableId="1044215434">
    <w:abstractNumId w:val="4"/>
  </w:num>
  <w:num w:numId="5" w16cid:durableId="612712837">
    <w:abstractNumId w:val="7"/>
  </w:num>
  <w:num w:numId="6" w16cid:durableId="1315992347">
    <w:abstractNumId w:val="3"/>
  </w:num>
  <w:num w:numId="7" w16cid:durableId="1683512216">
    <w:abstractNumId w:val="2"/>
  </w:num>
  <w:num w:numId="8" w16cid:durableId="511724511">
    <w:abstractNumId w:val="1"/>
  </w:num>
  <w:num w:numId="9" w16cid:durableId="196477657">
    <w:abstractNumId w:val="0"/>
  </w:num>
  <w:num w:numId="10" w16cid:durableId="19053304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85"/>
    <w:rsid w:val="00034616"/>
    <w:rsid w:val="0006063C"/>
    <w:rsid w:val="0015074B"/>
    <w:rsid w:val="00253EE1"/>
    <w:rsid w:val="0029639D"/>
    <w:rsid w:val="00326F90"/>
    <w:rsid w:val="00510573"/>
    <w:rsid w:val="007103E2"/>
    <w:rsid w:val="00776847"/>
    <w:rsid w:val="0080394B"/>
    <w:rsid w:val="00A746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84FFF2"/>
  <w14:defaultImageDpi w14:val="300"/>
  <w15:docId w15:val="{F7586ED4-630F-4B68-AB72-FE3F9718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2">
    <w:name w:val="Grid Table 5 Dark Accent 2"/>
    <w:basedOn w:val="TableNormal"/>
    <w:uiPriority w:val="50"/>
    <w:rsid w:val="007103E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7103E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amandarifqiyah123@gmail.com</cp:lastModifiedBy>
  <cp:revision>2</cp:revision>
  <dcterms:created xsi:type="dcterms:W3CDTF">2026-04-29T01:26:00Z</dcterms:created>
  <dcterms:modified xsi:type="dcterms:W3CDTF">2026-04-29T01:26:00Z</dcterms:modified>
  <cp:category/>
</cp:coreProperties>
</file>