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BCE2" w14:textId="77777777" w:rsidR="00F72F7D" w:rsidRDefault="00F72F7D" w:rsidP="00F72F7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SITI NUR NIKMATUL ZAENAB</w:t>
      </w:r>
    </w:p>
    <w:p w14:paraId="03831255" w14:textId="77777777" w:rsidR="00F72F7D" w:rsidRDefault="00F72F7D" w:rsidP="00F72F7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23051132</w:t>
      </w:r>
    </w:p>
    <w:p w14:paraId="5662ED64" w14:textId="77777777" w:rsidR="00F72F7D" w:rsidRDefault="00F72F7D" w:rsidP="00F72F7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t>: PAI 6 C</w:t>
      </w:r>
    </w:p>
    <w:p w14:paraId="2C39FD1B" w14:textId="77777777" w:rsidR="00F72F7D" w:rsidRDefault="00F72F7D" w:rsidP="00F72F7D">
      <w:pPr>
        <w:pBdr>
          <w:bottom w:val="thinThickThinMediumGap" w:sz="18" w:space="1" w:color="auto"/>
        </w:pBdr>
        <w:spacing w:after="0" w:line="276" w:lineRule="auto"/>
        <w:jc w:val="both"/>
        <w:rPr>
          <w:rFonts w:ascii="Times New Roman" w:hAnsi="Times New Roman" w:cs="Times New Roman"/>
          <w:sz w:val="24"/>
          <w:szCs w:val="24"/>
        </w:rPr>
      </w:pPr>
      <w:r>
        <w:rPr>
          <w:rFonts w:ascii="Times New Roman" w:hAnsi="Times New Roman" w:cs="Times New Roman"/>
          <w:sz w:val="24"/>
          <w:szCs w:val="24"/>
        </w:rPr>
        <w:t>MK</w:t>
      </w:r>
      <w:r>
        <w:rPr>
          <w:rFonts w:ascii="Times New Roman" w:hAnsi="Times New Roman" w:cs="Times New Roman"/>
          <w:sz w:val="24"/>
          <w:szCs w:val="24"/>
        </w:rPr>
        <w:tab/>
      </w:r>
      <w:r>
        <w:rPr>
          <w:rFonts w:ascii="Times New Roman" w:hAnsi="Times New Roman" w:cs="Times New Roman"/>
          <w:sz w:val="24"/>
          <w:szCs w:val="24"/>
        </w:rPr>
        <w:tab/>
        <w:t>: MASAILUL FIQIYAH</w:t>
      </w:r>
    </w:p>
    <w:p w14:paraId="47AFBE3D" w14:textId="77777777" w:rsidR="00F72F7D" w:rsidRDefault="00F72F7D" w:rsidP="00F72F7D">
      <w:pPr>
        <w:spacing w:after="0" w:line="276" w:lineRule="auto"/>
        <w:jc w:val="center"/>
        <w:rPr>
          <w:rFonts w:ascii="Times New Roman" w:hAnsi="Times New Roman" w:cs="Times New Roman"/>
          <w:b/>
          <w:bCs/>
          <w:sz w:val="24"/>
          <w:szCs w:val="24"/>
          <w:u w:val="single"/>
        </w:rPr>
      </w:pPr>
    </w:p>
    <w:p w14:paraId="3C22044D" w14:textId="701B0A3D" w:rsidR="00F72F7D" w:rsidRDefault="00F72F7D" w:rsidP="00F72F7D">
      <w:pPr>
        <w:spacing w:after="0" w:line="276" w:lineRule="auto"/>
        <w:jc w:val="center"/>
        <w:rPr>
          <w:rFonts w:ascii="Times New Roman" w:hAnsi="Times New Roman" w:cs="Times New Roman"/>
          <w:b/>
          <w:bCs/>
          <w:sz w:val="28"/>
          <w:szCs w:val="28"/>
          <w:u w:val="single"/>
        </w:rPr>
      </w:pPr>
      <w:r w:rsidRPr="00743F28">
        <w:rPr>
          <w:rFonts w:ascii="Times New Roman" w:hAnsi="Times New Roman" w:cs="Times New Roman"/>
          <w:b/>
          <w:bCs/>
          <w:sz w:val="28"/>
          <w:szCs w:val="28"/>
          <w:u w:val="single"/>
        </w:rPr>
        <w:t>Hukum Menikah Tanpa Wali</w:t>
      </w:r>
    </w:p>
    <w:p w14:paraId="63D8D899" w14:textId="77777777" w:rsidR="00743F28" w:rsidRPr="00743F28" w:rsidRDefault="00743F28" w:rsidP="00F72F7D">
      <w:pPr>
        <w:spacing w:after="0" w:line="276" w:lineRule="auto"/>
        <w:jc w:val="center"/>
        <w:rPr>
          <w:rFonts w:ascii="Times New Roman" w:hAnsi="Times New Roman" w:cs="Times New Roman"/>
          <w:b/>
          <w:bCs/>
          <w:sz w:val="28"/>
          <w:szCs w:val="28"/>
          <w:u w:val="single"/>
        </w:rPr>
      </w:pPr>
    </w:p>
    <w:tbl>
      <w:tblPr>
        <w:tblStyle w:val="GridTable5Dark-Accent3"/>
        <w:tblW w:w="9488" w:type="dxa"/>
        <w:tblLook w:val="04A0" w:firstRow="1" w:lastRow="0" w:firstColumn="1" w:lastColumn="0" w:noHBand="0" w:noVBand="1"/>
      </w:tblPr>
      <w:tblGrid>
        <w:gridCol w:w="510"/>
        <w:gridCol w:w="1764"/>
        <w:gridCol w:w="7214"/>
      </w:tblGrid>
      <w:tr w:rsidR="00F72F7D" w14:paraId="7DE2FDBD" w14:textId="77777777" w:rsidTr="00743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ACF38C0" w14:textId="6831777A" w:rsidR="00F72F7D" w:rsidRPr="00743F28" w:rsidRDefault="00743F28" w:rsidP="00743F28">
            <w:pPr>
              <w:spacing w:line="360" w:lineRule="auto"/>
              <w:jc w:val="center"/>
              <w:rPr>
                <w:rFonts w:ascii="Times New Roman" w:hAnsi="Times New Roman" w:cs="Times New Roman"/>
                <w:sz w:val="24"/>
                <w:szCs w:val="24"/>
              </w:rPr>
            </w:pPr>
            <w:r w:rsidRPr="00743F28">
              <w:rPr>
                <w:rFonts w:ascii="Times New Roman" w:hAnsi="Times New Roman" w:cs="Times New Roman"/>
                <w:sz w:val="24"/>
                <w:szCs w:val="24"/>
              </w:rPr>
              <w:t>No</w:t>
            </w:r>
          </w:p>
        </w:tc>
        <w:tc>
          <w:tcPr>
            <w:tcW w:w="1764" w:type="dxa"/>
          </w:tcPr>
          <w:p w14:paraId="5AC0F1E5" w14:textId="34E873FC" w:rsidR="00F72F7D" w:rsidRPr="00743F28" w:rsidRDefault="00743F28" w:rsidP="00743F2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3F28">
              <w:rPr>
                <w:rFonts w:ascii="Times New Roman" w:hAnsi="Times New Roman" w:cs="Times New Roman"/>
                <w:sz w:val="24"/>
                <w:szCs w:val="24"/>
              </w:rPr>
              <w:t>Pembahasan</w:t>
            </w:r>
          </w:p>
        </w:tc>
        <w:tc>
          <w:tcPr>
            <w:tcW w:w="7214" w:type="dxa"/>
          </w:tcPr>
          <w:p w14:paraId="370CB75B" w14:textId="6057F1FE" w:rsidR="00F72F7D" w:rsidRPr="00743F28" w:rsidRDefault="00743F28" w:rsidP="00743F2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3F28">
              <w:rPr>
                <w:rFonts w:ascii="Times New Roman" w:hAnsi="Times New Roman" w:cs="Times New Roman"/>
                <w:sz w:val="24"/>
                <w:szCs w:val="24"/>
              </w:rPr>
              <w:t xml:space="preserve"> Penjelasan, Referensi Footnote &amp; Link Akses</w:t>
            </w:r>
          </w:p>
        </w:tc>
      </w:tr>
      <w:tr w:rsidR="00F72F7D" w14:paraId="3D1FDA41"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82D3A25" w14:textId="5ED9F666"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764" w:type="dxa"/>
          </w:tcPr>
          <w:p w14:paraId="4A1C41EE" w14:textId="7D500261" w:rsidR="00F72F7D" w:rsidRPr="00743F28" w:rsidRDefault="00F72F7D"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3F28">
              <w:rPr>
                <w:rFonts w:ascii="Times New Roman" w:hAnsi="Times New Roman" w:cs="Times New Roman"/>
                <w:sz w:val="24"/>
                <w:szCs w:val="24"/>
                <w:lang w:val="en-US"/>
              </w:rPr>
              <w:t>Hukum menikah tanpa wali?</w:t>
            </w:r>
          </w:p>
        </w:tc>
        <w:tc>
          <w:tcPr>
            <w:tcW w:w="7214" w:type="dxa"/>
          </w:tcPr>
          <w:p w14:paraId="13EB9C5B" w14:textId="77777777" w:rsidR="00F72F7D" w:rsidRDefault="00F72F7D"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F72F7D">
              <w:rPr>
                <w:rFonts w:ascii="Times New Roman" w:hAnsi="Times New Roman" w:cs="Times New Roman"/>
                <w:sz w:val="24"/>
                <w:szCs w:val="24"/>
                <w:lang w:val="en-US"/>
              </w:rPr>
              <w:t>Hukum menikah tanpa wali diperselisihkan para ulama. Mazhab Hanafi membolehkan perempuan dewasa dan berakal menikahkan dirinya sendiri, sedangkan jumhur ulama seperti Mazhab Syafi’i, Maliki, dan Hanbali menyatakan nikah tanpa wali tidak sah.</w:t>
            </w:r>
          </w:p>
          <w:p w14:paraId="1C877373" w14:textId="77777777" w:rsidR="00C710C8" w:rsidRDefault="00C710C8"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p w14:paraId="391A32E9" w14:textId="29FB06B1" w:rsidR="00C710C8" w:rsidRPr="00C710C8" w:rsidRDefault="00C710C8"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6" w:history="1">
              <w:r w:rsidRPr="007B54DF">
                <w:rPr>
                  <w:rStyle w:val="Hyperlink"/>
                  <w:rFonts w:ascii="Times New Roman" w:hAnsi="Times New Roman" w:cs="Times New Roman"/>
                  <w:sz w:val="24"/>
                  <w:szCs w:val="24"/>
                  <w:lang w:val="en-US"/>
                </w:rPr>
                <w:t>https://doi.org/10.30736/adk.v15i2.544</w:t>
              </w:r>
            </w:hyperlink>
            <w:r>
              <w:rPr>
                <w:rFonts w:ascii="Times New Roman" w:hAnsi="Times New Roman" w:cs="Times New Roman"/>
                <w:sz w:val="24"/>
                <w:szCs w:val="24"/>
                <w:lang w:val="en-US"/>
              </w:rPr>
              <w:t xml:space="preserve"> </w:t>
            </w:r>
          </w:p>
        </w:tc>
      </w:tr>
      <w:tr w:rsidR="00F72F7D" w14:paraId="1036C075"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0A04BFA4" w14:textId="755B3ED6"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764" w:type="dxa"/>
          </w:tcPr>
          <w:p w14:paraId="7338A9C0" w14:textId="2B18656C" w:rsidR="00F72F7D" w:rsidRDefault="00F72F7D"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2F7D">
              <w:rPr>
                <w:rFonts w:ascii="Times New Roman" w:hAnsi="Times New Roman" w:cs="Times New Roman"/>
                <w:sz w:val="24"/>
                <w:szCs w:val="24"/>
              </w:rPr>
              <w:t>Pendapat pertama,</w:t>
            </w:r>
            <w:r>
              <w:rPr>
                <w:rFonts w:ascii="Times New Roman" w:hAnsi="Times New Roman" w:cs="Times New Roman"/>
                <w:sz w:val="24"/>
                <w:szCs w:val="24"/>
              </w:rPr>
              <w:t xml:space="preserve"> boleh</w:t>
            </w:r>
          </w:p>
        </w:tc>
        <w:tc>
          <w:tcPr>
            <w:tcW w:w="7214" w:type="dxa"/>
          </w:tcPr>
          <w:p w14:paraId="01C9D7C5" w14:textId="77777777" w:rsidR="00F72F7D" w:rsidRDefault="00F72F7D"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2F7D">
              <w:rPr>
                <w:rFonts w:ascii="Times New Roman" w:hAnsi="Times New Roman" w:cs="Times New Roman"/>
                <w:sz w:val="24"/>
                <w:szCs w:val="24"/>
              </w:rPr>
              <w:t>Pendapat pertama adalah pendapat Mazhab Hanafi. Mereka berpendapat bahwa perempuan yang sudah baligh dan berakal boleh menikahkan dirinya sendiri tanpa wali, selama calon suaminya sekufu dan maharnya sesuai.</w:t>
            </w:r>
          </w:p>
          <w:p w14:paraId="1260780D" w14:textId="77777777" w:rsidR="00F72F7D" w:rsidRDefault="00F72F7D"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FD52D46" w14:textId="23DC8588" w:rsidR="00F72F7D" w:rsidRDefault="00C710C8"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 w:history="1">
              <w:r w:rsidRPr="007B54DF">
                <w:rPr>
                  <w:rStyle w:val="Hyperlink"/>
                  <w:rFonts w:ascii="Times New Roman" w:hAnsi="Times New Roman" w:cs="Times New Roman"/>
                  <w:sz w:val="24"/>
                  <w:szCs w:val="24"/>
                </w:rPr>
                <w:t>https://dx.doi.org/10.22373/sjhk.v2i1.3103</w:t>
              </w:r>
            </w:hyperlink>
            <w:r>
              <w:rPr>
                <w:rFonts w:ascii="Times New Roman" w:hAnsi="Times New Roman" w:cs="Times New Roman"/>
                <w:sz w:val="24"/>
                <w:szCs w:val="24"/>
              </w:rPr>
              <w:t xml:space="preserve"> </w:t>
            </w:r>
          </w:p>
        </w:tc>
      </w:tr>
      <w:tr w:rsidR="00F72F7D" w14:paraId="18BBB1BC"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F81FCCE" w14:textId="488699AB"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764" w:type="dxa"/>
          </w:tcPr>
          <w:p w14:paraId="58CC3C6F" w14:textId="3414E2FE" w:rsidR="00F72F7D" w:rsidRDefault="00F72F7D"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2F7D">
              <w:rPr>
                <w:rFonts w:ascii="Times New Roman" w:hAnsi="Times New Roman" w:cs="Times New Roman"/>
                <w:sz w:val="24"/>
                <w:szCs w:val="24"/>
              </w:rPr>
              <w:t>Pendapat kedua</w:t>
            </w:r>
          </w:p>
        </w:tc>
        <w:tc>
          <w:tcPr>
            <w:tcW w:w="7214" w:type="dxa"/>
          </w:tcPr>
          <w:p w14:paraId="2B971A55" w14:textId="77777777" w:rsidR="00F72F7D" w:rsidRDefault="00F72F7D"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2F7D">
              <w:rPr>
                <w:rFonts w:ascii="Times New Roman" w:hAnsi="Times New Roman" w:cs="Times New Roman"/>
                <w:sz w:val="24"/>
                <w:szCs w:val="24"/>
              </w:rPr>
              <w:t>Pendapat kedua adalah pendapat jumhur ulama seperti Imam Syafi’i, Imam Malik, dan Imam Ahmad bin Hanbal. Mereka menyatakan bahwa wali adalah rukun nikah, sehingga nikah tanpa wali hukumnya tidak sah atau batal.</w:t>
            </w:r>
          </w:p>
          <w:p w14:paraId="68C7A37A" w14:textId="77777777" w:rsidR="00F72F7D" w:rsidRDefault="00F72F7D"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E3740BF" w14:textId="60B41B5E" w:rsidR="00F72F7D" w:rsidRDefault="00C710C8"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8" w:history="1">
              <w:r w:rsidRPr="007B54DF">
                <w:rPr>
                  <w:rStyle w:val="Hyperlink"/>
                  <w:rFonts w:ascii="Times New Roman" w:hAnsi="Times New Roman" w:cs="Times New Roman"/>
                  <w:sz w:val="24"/>
                  <w:szCs w:val="24"/>
                  <w:lang w:val="en-US"/>
                </w:rPr>
                <w:t>https://doi.org/10.30736/adk.v15i2.544</w:t>
              </w:r>
            </w:hyperlink>
          </w:p>
        </w:tc>
      </w:tr>
      <w:tr w:rsidR="00F72F7D" w14:paraId="768B9C04"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739E44AC" w14:textId="6EC21926"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764" w:type="dxa"/>
          </w:tcPr>
          <w:p w14:paraId="19BD7059" w14:textId="588A69F5" w:rsidR="00F72F7D" w:rsidRDefault="00F72F7D"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2F7D">
              <w:rPr>
                <w:rFonts w:ascii="Times New Roman" w:hAnsi="Times New Roman" w:cs="Times New Roman"/>
                <w:sz w:val="24"/>
                <w:szCs w:val="24"/>
              </w:rPr>
              <w:t>Sebutkan dalil yang dijadikan sandaran pendapat pertama!</w:t>
            </w:r>
          </w:p>
        </w:tc>
        <w:tc>
          <w:tcPr>
            <w:tcW w:w="7214" w:type="dxa"/>
          </w:tcPr>
          <w:p w14:paraId="1ADB9628"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Dalil yang digunakan Mazhab Hanafi antara lain:</w:t>
            </w:r>
          </w:p>
          <w:p w14:paraId="5492F819"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QS. Al-Baqarah ayat 230</w:t>
            </w:r>
          </w:p>
          <w:p w14:paraId="57891C4D"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&gt; فَإِنْ طَلَّقَهَا فَلَا تَحِلُّ لَهُ مِنْۢ بَعْدُ حَتّٰى تَنْكِحَ زَوْجًا غَيْرَهٗ</w:t>
            </w:r>
          </w:p>
          <w:p w14:paraId="45DF5552"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Artinya:</w:t>
            </w:r>
          </w:p>
          <w:p w14:paraId="54EA3BD0"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&gt; “Kemudian jika si suami menceraikannya (sesudah talak yang kedua), maka perempuan itu tidak halal lagi baginya hingga dia menikah dengan suami yang lain.”</w:t>
            </w:r>
          </w:p>
          <w:p w14:paraId="5F4FCF82"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(QS. Al-Baqarah: 230)</w:t>
            </w:r>
          </w:p>
          <w:p w14:paraId="790A9641"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lastRenderedPageBreak/>
              <w:t>Menurut Mazhab Hanafi, ayat ini menunjukkan bahwa perempuan dapat melakukan akad nikah sendiri karena kata “tankiha” disandarkan langsung kepada perempuan.</w:t>
            </w:r>
          </w:p>
          <w:p w14:paraId="263326FD"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Sumber PDF:</w:t>
            </w:r>
          </w:p>
          <w:p w14:paraId="138BD589" w14:textId="16ECA741" w:rsidR="00F72F7D"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9" w:history="1">
              <w:r w:rsidRPr="007B54DF">
                <w:rPr>
                  <w:rStyle w:val="Hyperlink"/>
                  <w:rFonts w:ascii="Times New Roman" w:hAnsi="Times New Roman" w:cs="Times New Roman"/>
                  <w:sz w:val="24"/>
                  <w:szCs w:val="24"/>
                </w:rPr>
                <w:t>https://jurnal.arraniry.ac.id/index.php/samarah/article/view/3103.html</w:t>
              </w:r>
            </w:hyperlink>
            <w:r>
              <w:rPr>
                <w:rFonts w:ascii="Times New Roman" w:hAnsi="Times New Roman" w:cs="Times New Roman"/>
                <w:sz w:val="24"/>
                <w:szCs w:val="24"/>
              </w:rPr>
              <w:t xml:space="preserve"> </w:t>
            </w:r>
          </w:p>
        </w:tc>
      </w:tr>
      <w:tr w:rsidR="00F72F7D" w14:paraId="7DF01B10"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64ED4EF2" w14:textId="274BB374"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5</w:t>
            </w:r>
          </w:p>
        </w:tc>
        <w:tc>
          <w:tcPr>
            <w:tcW w:w="1764" w:type="dxa"/>
          </w:tcPr>
          <w:p w14:paraId="7EFA7FBD" w14:textId="0A54FC9E" w:rsidR="00F72F7D"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Sebutkan dalil yang dijadikan sandaran pendapat kedua!</w:t>
            </w:r>
          </w:p>
        </w:tc>
        <w:tc>
          <w:tcPr>
            <w:tcW w:w="7214" w:type="dxa"/>
          </w:tcPr>
          <w:p w14:paraId="381B5252"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Dalil jumhur ulama:</w:t>
            </w:r>
          </w:p>
          <w:p w14:paraId="1214D217"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QS. Al-Baqarah ayat 232</w:t>
            </w:r>
          </w:p>
          <w:p w14:paraId="16C55AB7"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&gt; فَلَا تَعْضُلُوهُنَّ أَنْ يَنْكِحْنَ أَزْوَاجَهُنَّ</w:t>
            </w:r>
          </w:p>
          <w:p w14:paraId="056F08C3"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Artinya:</w:t>
            </w:r>
          </w:p>
          <w:p w14:paraId="2C42055B" w14:textId="348675F1"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&gt; “Maka janganlah kamu (para wali) menghalangi mereka menikah lagi dengan calon suaminya.”</w:t>
            </w:r>
            <w:r w:rsidR="00C710C8">
              <w:rPr>
                <w:rFonts w:ascii="Times New Roman" w:hAnsi="Times New Roman" w:cs="Times New Roman"/>
                <w:sz w:val="24"/>
                <w:szCs w:val="24"/>
              </w:rPr>
              <w:t xml:space="preserve"> </w:t>
            </w:r>
            <w:r w:rsidRPr="006736CB">
              <w:rPr>
                <w:rFonts w:ascii="Times New Roman" w:hAnsi="Times New Roman" w:cs="Times New Roman"/>
                <w:sz w:val="24"/>
                <w:szCs w:val="24"/>
              </w:rPr>
              <w:t>(QS. Al-Baqarah: 232)</w:t>
            </w:r>
          </w:p>
          <w:p w14:paraId="1B35FCCC"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Menurut jumhur ulama, ayat ini menunjukkan adanya peran wali dalam pernikahan.</w:t>
            </w:r>
          </w:p>
          <w:p w14:paraId="2545999C"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Hadis Nabi SAW:</w:t>
            </w:r>
          </w:p>
          <w:p w14:paraId="4B91C531" w14:textId="0DE4219B"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&gt; “Tidak sah nikah tanpa wali.”</w:t>
            </w:r>
            <w:r w:rsidR="00C710C8">
              <w:rPr>
                <w:rFonts w:ascii="Times New Roman" w:hAnsi="Times New Roman" w:cs="Times New Roman"/>
                <w:sz w:val="24"/>
                <w:szCs w:val="24"/>
              </w:rPr>
              <w:t xml:space="preserve"> </w:t>
            </w:r>
            <w:r w:rsidRPr="006736CB">
              <w:rPr>
                <w:rFonts w:ascii="Times New Roman" w:hAnsi="Times New Roman" w:cs="Times New Roman"/>
                <w:sz w:val="24"/>
                <w:szCs w:val="24"/>
              </w:rPr>
              <w:t>(HR. Abu Dawud dan Tirmidzi)</w:t>
            </w:r>
          </w:p>
          <w:p w14:paraId="5D7DF814"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Hadis lain:</w:t>
            </w:r>
          </w:p>
          <w:p w14:paraId="3D8F01DF"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&gt; “Perempuan mana saja yang menikah tanpa izin walinya maka nikahnya batal.”</w:t>
            </w:r>
          </w:p>
          <w:p w14:paraId="1A0D0FA1"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Sumber PDF:</w:t>
            </w:r>
          </w:p>
          <w:p w14:paraId="6B037017" w14:textId="05C10BB5" w:rsidR="00F72F7D"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0" w:history="1">
              <w:r w:rsidRPr="007B54DF">
                <w:rPr>
                  <w:rStyle w:val="Hyperlink"/>
                  <w:rFonts w:ascii="Times New Roman" w:hAnsi="Times New Roman" w:cs="Times New Roman"/>
                  <w:sz w:val="24"/>
                  <w:szCs w:val="24"/>
                </w:rPr>
                <w:t>https://jurnal.ar-raniry.ac.id/index.php/PMI/article/view/13397?utm_source=chatgpt.com</w:t>
              </w:r>
            </w:hyperlink>
            <w:r>
              <w:rPr>
                <w:rFonts w:ascii="Times New Roman" w:hAnsi="Times New Roman" w:cs="Times New Roman"/>
                <w:sz w:val="24"/>
                <w:szCs w:val="24"/>
              </w:rPr>
              <w:t xml:space="preserve"> </w:t>
            </w:r>
          </w:p>
        </w:tc>
      </w:tr>
      <w:tr w:rsidR="00F72F7D" w14:paraId="6C18E915"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3A14EF08" w14:textId="100A1750"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764" w:type="dxa"/>
          </w:tcPr>
          <w:p w14:paraId="5022D75A" w14:textId="4B1A6EE2" w:rsidR="00F72F7D" w:rsidRDefault="006736CB"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Metode apa yang dipakai pendapat pertama untuk menentukan bahwa hukumnya boleh?</w:t>
            </w:r>
          </w:p>
        </w:tc>
        <w:tc>
          <w:tcPr>
            <w:tcW w:w="7214" w:type="dxa"/>
          </w:tcPr>
          <w:p w14:paraId="07A8E100" w14:textId="77777777" w:rsidR="00C710C8"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Mazhab Hanafi menggunakan metode istinbath hukum berupa:</w:t>
            </w:r>
          </w:p>
          <w:p w14:paraId="7BBACBBD" w14:textId="79748F42"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Qiyas</w:t>
            </w:r>
          </w:p>
          <w:p w14:paraId="1D91C0DC"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Ra’yu (rasional)</w:t>
            </w:r>
          </w:p>
          <w:p w14:paraId="56F3FAD1"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Pemahaman umum ayat Al-Qur’an</w:t>
            </w:r>
          </w:p>
          <w:p w14:paraId="4B3F255E" w14:textId="77777777" w:rsidR="00F72F7D"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Mereka lebih menekankan kebebasan perempuan dewasa dalam akad muamalah termasuk nikah.</w:t>
            </w:r>
          </w:p>
          <w:p w14:paraId="3F805C63" w14:textId="77777777" w:rsidR="00C710C8" w:rsidRDefault="00C710C8"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3AC828B" w14:textId="1D9DA281" w:rsidR="00C710C8" w:rsidRDefault="00C710C8"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1"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tc>
      </w:tr>
      <w:tr w:rsidR="00F72F7D" w14:paraId="5BF19FC2"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EA85F0A" w14:textId="6E2D00BF"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764" w:type="dxa"/>
          </w:tcPr>
          <w:p w14:paraId="2C52E577" w14:textId="61A6A27E" w:rsidR="00F72F7D"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 xml:space="preserve">Metode pendapat kedua untuk menentukan </w:t>
            </w:r>
            <w:r w:rsidRPr="006736CB">
              <w:rPr>
                <w:rFonts w:ascii="Times New Roman" w:hAnsi="Times New Roman" w:cs="Times New Roman"/>
                <w:sz w:val="24"/>
                <w:szCs w:val="24"/>
              </w:rPr>
              <w:lastRenderedPageBreak/>
              <w:t>bahwa hukumnya tidak boleh?</w:t>
            </w:r>
          </w:p>
        </w:tc>
        <w:tc>
          <w:tcPr>
            <w:tcW w:w="7214" w:type="dxa"/>
          </w:tcPr>
          <w:p w14:paraId="4BE1AE09"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lastRenderedPageBreak/>
              <w:t>Mazhab Syafi’i dan jumhur menggunakan:</w:t>
            </w:r>
          </w:p>
          <w:p w14:paraId="0F05C240"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Hadis shahih</w:t>
            </w:r>
          </w:p>
          <w:p w14:paraId="74193DFD" w14:textId="77777777" w:rsidR="00C710C8"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Ijma’ mayoritas ulama</w:t>
            </w:r>
          </w:p>
          <w:p w14:paraId="20F357BE" w14:textId="77777777" w:rsidR="006736CB" w:rsidRDefault="006736CB" w:rsidP="004E29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Pendekatan tekstual terhadap hadis tentang wali nikah</w:t>
            </w:r>
          </w:p>
          <w:p w14:paraId="6553C53B" w14:textId="77777777" w:rsidR="004E29B3" w:rsidRDefault="004E29B3" w:rsidP="004E29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2" w:history="1">
              <w:r w:rsidRPr="007B54DF">
                <w:rPr>
                  <w:rStyle w:val="Hyperlink"/>
                  <w:rFonts w:ascii="Times New Roman" w:hAnsi="Times New Roman" w:cs="Times New Roman"/>
                  <w:sz w:val="24"/>
                  <w:szCs w:val="24"/>
                </w:rPr>
                <w:t>https://urj.uin-malang.ac.id/index.php/jfs/article/view/427</w:t>
              </w:r>
            </w:hyperlink>
            <w:r>
              <w:rPr>
                <w:rFonts w:ascii="Times New Roman" w:hAnsi="Times New Roman" w:cs="Times New Roman"/>
                <w:sz w:val="24"/>
                <w:szCs w:val="24"/>
              </w:rPr>
              <w:t xml:space="preserve"> </w:t>
            </w:r>
          </w:p>
          <w:p w14:paraId="0339D01D" w14:textId="18E2C862" w:rsidR="004E29B3" w:rsidRPr="006736CB" w:rsidRDefault="004E29B3" w:rsidP="004E29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3"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tc>
      </w:tr>
      <w:tr w:rsidR="00F72F7D" w14:paraId="44622184"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3AA4C26F" w14:textId="4F82916D"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8</w:t>
            </w:r>
          </w:p>
        </w:tc>
        <w:tc>
          <w:tcPr>
            <w:tcW w:w="1764" w:type="dxa"/>
          </w:tcPr>
          <w:p w14:paraId="5DC3ECCC" w14:textId="20900500" w:rsidR="00F72F7D" w:rsidRDefault="006736CB"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Mengapa ulama pertama mengatakan bahwa itu boleh?</w:t>
            </w:r>
          </w:p>
        </w:tc>
        <w:tc>
          <w:tcPr>
            <w:tcW w:w="7214" w:type="dxa"/>
          </w:tcPr>
          <w:p w14:paraId="1A1231C7" w14:textId="77777777" w:rsidR="00F72F7D"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Karena menurut mereka perempuan dewasa dan berakal memiliki hak penuh atas dirinya sendiri, termasuk dalam akad nikah. Mereka mengqiyaskan akad nikah dengan akad jual beli atau transaksi lain yang boleh dilakukan sendiri oleh perempuan dewasa.</w:t>
            </w:r>
          </w:p>
          <w:p w14:paraId="34CE0A61" w14:textId="77777777" w:rsidR="004E29B3" w:rsidRDefault="004E29B3"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0602B18" w14:textId="7B71681C" w:rsidR="004E29B3" w:rsidRDefault="004E29B3"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4" w:history="1">
              <w:r w:rsidRPr="007B54DF">
                <w:rPr>
                  <w:rStyle w:val="Hyperlink"/>
                  <w:rFonts w:ascii="Times New Roman" w:hAnsi="Times New Roman" w:cs="Times New Roman"/>
                  <w:sz w:val="24"/>
                  <w:szCs w:val="24"/>
                </w:rPr>
                <w:t>https://dx.doi.org/10.22373/sjhk.v2i1.3103</w:t>
              </w:r>
            </w:hyperlink>
            <w:r>
              <w:rPr>
                <w:rFonts w:ascii="Times New Roman" w:hAnsi="Times New Roman" w:cs="Times New Roman"/>
                <w:sz w:val="24"/>
                <w:szCs w:val="24"/>
              </w:rPr>
              <w:t xml:space="preserve"> </w:t>
            </w:r>
          </w:p>
        </w:tc>
      </w:tr>
      <w:tr w:rsidR="00F72F7D" w14:paraId="580B17E9"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5CD4620" w14:textId="5F11EE1E"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764" w:type="dxa"/>
          </w:tcPr>
          <w:p w14:paraId="4F080766" w14:textId="0F990080" w:rsidR="00F72F7D"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Mengapa ulama kedua mengatakan bahwa itu tidak boleh?</w:t>
            </w:r>
          </w:p>
        </w:tc>
        <w:tc>
          <w:tcPr>
            <w:tcW w:w="7214" w:type="dxa"/>
          </w:tcPr>
          <w:p w14:paraId="09F72ED1" w14:textId="77777777" w:rsidR="00F72F7D"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Karena wali dianggap sebagai pelindung perempuan dan merupakan syarat sah nikah berdasarkan hadis Nabi SAW. Kehadiran wali juga bertujuan menjaga kehormatan dan kemaslahatan perempuan.</w:t>
            </w:r>
          </w:p>
          <w:p w14:paraId="26653EA2" w14:textId="77777777" w:rsidR="004E29B3" w:rsidRDefault="004E29B3"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210C2BA" w14:textId="143E07DF" w:rsidR="004E29B3" w:rsidRDefault="004E29B3"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5"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tc>
      </w:tr>
      <w:tr w:rsidR="00F72F7D" w14:paraId="53D5DFC8"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78B3DBB1" w14:textId="7B12EF01"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764" w:type="dxa"/>
          </w:tcPr>
          <w:p w14:paraId="27001DE6" w14:textId="22E948CA" w:rsidR="00F72F7D" w:rsidRDefault="006736CB"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Dari sisi mana pendapat pertama lemah?</w:t>
            </w:r>
          </w:p>
        </w:tc>
        <w:tc>
          <w:tcPr>
            <w:tcW w:w="7214" w:type="dxa"/>
          </w:tcPr>
          <w:p w14:paraId="4429F8CF"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Kelemahan pendapat Hanafi:</w:t>
            </w:r>
          </w:p>
          <w:p w14:paraId="07EFF79E"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Bertentangan dengan hadis yang secara tegas menyebutkan harus ada wali.</w:t>
            </w:r>
          </w:p>
          <w:p w14:paraId="1F422CE6" w14:textId="77777777" w:rsidR="00F72F7D"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Dikhawatirkan membuka peluang penyalahgunaan nikah tanpa pengawasan keluarga.</w:t>
            </w:r>
          </w:p>
          <w:p w14:paraId="2F4570C8" w14:textId="77777777" w:rsidR="004E29B3" w:rsidRDefault="004E29B3"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6"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p w14:paraId="4A87B920" w14:textId="33C655E0" w:rsidR="004E29B3" w:rsidRDefault="004E29B3"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7" w:history="1">
              <w:r w:rsidRPr="007B54DF">
                <w:rPr>
                  <w:rStyle w:val="Hyperlink"/>
                  <w:rFonts w:ascii="Times New Roman" w:hAnsi="Times New Roman" w:cs="Times New Roman"/>
                  <w:sz w:val="24"/>
                  <w:szCs w:val="24"/>
                </w:rPr>
                <w:t>https://urj.uin-malang.ac.id/index.php/jfs/article/view/427</w:t>
              </w:r>
            </w:hyperlink>
            <w:r>
              <w:rPr>
                <w:rFonts w:ascii="Times New Roman" w:hAnsi="Times New Roman" w:cs="Times New Roman"/>
                <w:sz w:val="24"/>
                <w:szCs w:val="24"/>
              </w:rPr>
              <w:t xml:space="preserve"> </w:t>
            </w:r>
          </w:p>
        </w:tc>
      </w:tr>
      <w:tr w:rsidR="00F72F7D" w14:paraId="14968AF2"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81381D6" w14:textId="4FE0E138"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764" w:type="dxa"/>
          </w:tcPr>
          <w:p w14:paraId="6F68AFDA" w14:textId="0F9A6BA9" w:rsidR="00F72F7D"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Dari sisi mana pendapat kedua lemah?</w:t>
            </w:r>
          </w:p>
        </w:tc>
        <w:tc>
          <w:tcPr>
            <w:tcW w:w="7214" w:type="dxa"/>
          </w:tcPr>
          <w:p w14:paraId="1E52F150"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Kelemahan pendapat jumhur:</w:t>
            </w:r>
          </w:p>
          <w:p w14:paraId="78E3962E" w14:textId="77777777"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Kadang terlalu membatasi hak perempuan dewasa.</w:t>
            </w:r>
          </w:p>
          <w:p w14:paraId="501FABDC" w14:textId="77777777" w:rsidR="00F72F7D"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Bisa menimbulkan kesulitan apabila wali menolak tanpa alasan syar’i.</w:t>
            </w:r>
          </w:p>
          <w:p w14:paraId="556E1B4E" w14:textId="77777777" w:rsidR="004E29B3" w:rsidRDefault="004E29B3"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8" w:history="1">
              <w:r w:rsidRPr="007B54DF">
                <w:rPr>
                  <w:rStyle w:val="Hyperlink"/>
                  <w:rFonts w:ascii="Times New Roman" w:hAnsi="Times New Roman" w:cs="Times New Roman"/>
                  <w:sz w:val="24"/>
                  <w:szCs w:val="24"/>
                </w:rPr>
                <w:t>https://urj.uin-malang.ac.id/index.php/jfs/article/view/427</w:t>
              </w:r>
            </w:hyperlink>
            <w:r>
              <w:rPr>
                <w:rFonts w:ascii="Times New Roman" w:hAnsi="Times New Roman" w:cs="Times New Roman"/>
                <w:sz w:val="24"/>
                <w:szCs w:val="24"/>
              </w:rPr>
              <w:t xml:space="preserve"> </w:t>
            </w:r>
          </w:p>
          <w:p w14:paraId="1E2F387B" w14:textId="12E8F34D" w:rsidR="004E29B3" w:rsidRDefault="004E29B3"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9" w:history="1">
              <w:r w:rsidRPr="007B54DF">
                <w:rPr>
                  <w:rStyle w:val="Hyperlink"/>
                  <w:rFonts w:ascii="Times New Roman" w:hAnsi="Times New Roman" w:cs="Times New Roman"/>
                  <w:sz w:val="24"/>
                  <w:szCs w:val="24"/>
                </w:rPr>
                <w:t>https://doi.org/10.61817/jifala.v1i1.307</w:t>
              </w:r>
            </w:hyperlink>
            <w:r>
              <w:rPr>
                <w:rFonts w:ascii="Times New Roman" w:hAnsi="Times New Roman" w:cs="Times New Roman"/>
                <w:sz w:val="24"/>
                <w:szCs w:val="24"/>
              </w:rPr>
              <w:t xml:space="preserve"> </w:t>
            </w:r>
          </w:p>
        </w:tc>
      </w:tr>
      <w:tr w:rsidR="00F72F7D" w14:paraId="37F7C9AA"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7AAFAED3" w14:textId="34FDB3A3"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764" w:type="dxa"/>
          </w:tcPr>
          <w:p w14:paraId="40D2D382" w14:textId="1EEC99B0" w:rsidR="00F72F7D" w:rsidRDefault="006736CB"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Dari sisi mana pendapat pertama kuat?</w:t>
            </w:r>
          </w:p>
        </w:tc>
        <w:tc>
          <w:tcPr>
            <w:tcW w:w="7214" w:type="dxa"/>
          </w:tcPr>
          <w:p w14:paraId="2014A5EF" w14:textId="77777777" w:rsidR="00C710C8"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Kekuatan pendapat Hanafi:</w:t>
            </w:r>
          </w:p>
          <w:p w14:paraId="1A9EBAD3" w14:textId="5817B201"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Menghargai hak dan kedewasaan perempuan.</w:t>
            </w:r>
          </w:p>
          <w:p w14:paraId="6AA87364"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 xml:space="preserve">Memiliki dasar Al-Qur’an dan pendekatan rasional. </w:t>
            </w:r>
          </w:p>
          <w:p w14:paraId="7308E9A1" w14:textId="19BFAD40" w:rsidR="00F72F7D" w:rsidRDefault="004E29B3"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0" w:history="1">
              <w:r w:rsidRPr="007B54DF">
                <w:rPr>
                  <w:rStyle w:val="Hyperlink"/>
                  <w:rFonts w:ascii="Times New Roman" w:hAnsi="Times New Roman" w:cs="Times New Roman"/>
                  <w:sz w:val="24"/>
                  <w:szCs w:val="24"/>
                </w:rPr>
                <w:t>https://dx.doi.org/10.22373/sjhk.v2i1.3103</w:t>
              </w:r>
            </w:hyperlink>
            <w:r>
              <w:rPr>
                <w:rFonts w:ascii="Times New Roman" w:hAnsi="Times New Roman" w:cs="Times New Roman"/>
                <w:sz w:val="24"/>
                <w:szCs w:val="24"/>
              </w:rPr>
              <w:t xml:space="preserve"> </w:t>
            </w:r>
          </w:p>
        </w:tc>
      </w:tr>
      <w:tr w:rsidR="00F72F7D" w14:paraId="3E1F6C4C"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A926D8" w14:textId="72D8CAA6" w:rsidR="00F72F7D" w:rsidRDefault="00F72F7D"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1764" w:type="dxa"/>
          </w:tcPr>
          <w:p w14:paraId="6044125F" w14:textId="3ED4B18C" w:rsidR="00F72F7D"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Dari sisi mana pendapat kedua kuat?</w:t>
            </w:r>
          </w:p>
        </w:tc>
        <w:tc>
          <w:tcPr>
            <w:tcW w:w="7214" w:type="dxa"/>
          </w:tcPr>
          <w:p w14:paraId="64B9CEAC" w14:textId="532E85EF"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Kekuatan pendapat jumhur:</w:t>
            </w:r>
          </w:p>
          <w:p w14:paraId="2A4FCF03" w14:textId="3AD4FFEF"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Berdasarkan hadis shahih yang jelas.</w:t>
            </w:r>
          </w:p>
          <w:p w14:paraId="7DEC1D94" w14:textId="186B5310"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Menjaga kehormatan dan perlindungan perempuan.</w:t>
            </w:r>
          </w:p>
          <w:p w14:paraId="390808EB" w14:textId="77777777" w:rsidR="00F72F7D"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lastRenderedPageBreak/>
              <w:t>Menjadi pendapat mayoritas ulama.</w:t>
            </w:r>
          </w:p>
          <w:p w14:paraId="2E81A18D" w14:textId="25822459" w:rsidR="004E29B3" w:rsidRDefault="004E29B3"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1"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tc>
      </w:tr>
      <w:tr w:rsidR="00F72F7D" w14:paraId="37BF51F3"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0820A26F" w14:textId="2D01FCCB" w:rsidR="00F72F7D" w:rsidRDefault="00C710C8"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14</w:t>
            </w:r>
          </w:p>
        </w:tc>
        <w:tc>
          <w:tcPr>
            <w:tcW w:w="1764" w:type="dxa"/>
          </w:tcPr>
          <w:p w14:paraId="67042203" w14:textId="46F5AC05" w:rsidR="00F72F7D" w:rsidRDefault="006736CB"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Apa sisi persamaan dari kedua pendapat?</w:t>
            </w:r>
          </w:p>
        </w:tc>
        <w:tc>
          <w:tcPr>
            <w:tcW w:w="7214" w:type="dxa"/>
          </w:tcPr>
          <w:p w14:paraId="6BB96F2F" w14:textId="685E3B1E"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Keduanya sama-sama:</w:t>
            </w:r>
          </w:p>
          <w:p w14:paraId="43EB3FC8" w14:textId="77777777"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Menggunakan Al-Qur’an dan hadis sebagai dasar hukum.</w:t>
            </w:r>
          </w:p>
          <w:p w14:paraId="559F0876" w14:textId="020ED17B"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Bertujuan menjaga kemaslahatan dalam pernikahan.</w:t>
            </w:r>
          </w:p>
          <w:p w14:paraId="2E8498F9" w14:textId="77777777" w:rsidR="006736CB" w:rsidRDefault="006736CB" w:rsidP="00C710C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Mengakui pentingnya akad nikah yang sah menurut syariat.</w:t>
            </w:r>
          </w:p>
          <w:p w14:paraId="110302F5" w14:textId="77777777" w:rsidR="004E29B3" w:rsidRDefault="004E29B3" w:rsidP="00C710C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2"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p w14:paraId="2499B4F1" w14:textId="07859A5A" w:rsidR="004E29B3" w:rsidRPr="006736CB" w:rsidRDefault="004E29B3" w:rsidP="00C710C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3" w:history="1">
              <w:r w:rsidRPr="007B54DF">
                <w:rPr>
                  <w:rStyle w:val="Hyperlink"/>
                  <w:rFonts w:ascii="Times New Roman" w:hAnsi="Times New Roman" w:cs="Times New Roman"/>
                  <w:sz w:val="24"/>
                  <w:szCs w:val="24"/>
                </w:rPr>
                <w:t>https://urj.uin-malang.ac.id/index.php/jfs/article/view/427</w:t>
              </w:r>
            </w:hyperlink>
            <w:r>
              <w:rPr>
                <w:rFonts w:ascii="Times New Roman" w:hAnsi="Times New Roman" w:cs="Times New Roman"/>
                <w:sz w:val="24"/>
                <w:szCs w:val="24"/>
              </w:rPr>
              <w:t xml:space="preserve"> </w:t>
            </w:r>
          </w:p>
        </w:tc>
      </w:tr>
      <w:tr w:rsidR="006736CB" w14:paraId="490290B0"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609A9F6F" w14:textId="6E687B51" w:rsidR="006736CB" w:rsidRDefault="00C710C8"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1764" w:type="dxa"/>
          </w:tcPr>
          <w:p w14:paraId="26E34FB9" w14:textId="746EC1DA" w:rsidR="006736CB" w:rsidRPr="006736CB"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Siapa saja ulama yang mengatakan itu boleh?</w:t>
            </w:r>
          </w:p>
        </w:tc>
        <w:tc>
          <w:tcPr>
            <w:tcW w:w="7214" w:type="dxa"/>
          </w:tcPr>
          <w:p w14:paraId="295494D5" w14:textId="160A9BA8"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Ulama yang membolehkan:</w:t>
            </w:r>
          </w:p>
          <w:p w14:paraId="6FA7C1FF" w14:textId="30024144"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Imam Abu Hanifah</w:t>
            </w:r>
          </w:p>
          <w:p w14:paraId="18C8BED2" w14:textId="618EA13F" w:rsidR="006736CB" w:rsidRP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Sebagian ulama Hanafiyyah</w:t>
            </w:r>
          </w:p>
          <w:p w14:paraId="4D7C89CF" w14:textId="77777777" w:rsid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Sebagian ulama Syiah Imamiyah</w:t>
            </w:r>
          </w:p>
          <w:p w14:paraId="79764358" w14:textId="4FF4445C" w:rsidR="004E29B3" w:rsidRPr="006736CB" w:rsidRDefault="004E29B3"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4" w:history="1">
              <w:r w:rsidRPr="007B54DF">
                <w:rPr>
                  <w:rStyle w:val="Hyperlink"/>
                  <w:rFonts w:ascii="Times New Roman" w:hAnsi="Times New Roman" w:cs="Times New Roman"/>
                  <w:sz w:val="24"/>
                  <w:szCs w:val="24"/>
                </w:rPr>
                <w:t>https://doi.org/10.30736/adk.v15i2.544</w:t>
              </w:r>
            </w:hyperlink>
            <w:r>
              <w:rPr>
                <w:rFonts w:ascii="Times New Roman" w:hAnsi="Times New Roman" w:cs="Times New Roman"/>
                <w:sz w:val="24"/>
                <w:szCs w:val="24"/>
              </w:rPr>
              <w:t xml:space="preserve"> </w:t>
            </w:r>
          </w:p>
        </w:tc>
      </w:tr>
      <w:tr w:rsidR="006736CB" w14:paraId="19E53AC0" w14:textId="77777777" w:rsidTr="00743F28">
        <w:tc>
          <w:tcPr>
            <w:cnfStyle w:val="001000000000" w:firstRow="0" w:lastRow="0" w:firstColumn="1" w:lastColumn="0" w:oddVBand="0" w:evenVBand="0" w:oddHBand="0" w:evenHBand="0" w:firstRowFirstColumn="0" w:firstRowLastColumn="0" w:lastRowFirstColumn="0" w:lastRowLastColumn="0"/>
            <w:tcW w:w="510" w:type="dxa"/>
          </w:tcPr>
          <w:p w14:paraId="14AFC503" w14:textId="44537333" w:rsidR="006736CB" w:rsidRDefault="00C710C8"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1764" w:type="dxa"/>
          </w:tcPr>
          <w:p w14:paraId="3625AF53" w14:textId="7410322E" w:rsidR="006736CB" w:rsidRPr="006736CB" w:rsidRDefault="006736CB" w:rsidP="00743F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Siapa saja ulama yang mengatakan bahwa itu tidak boleh?</w:t>
            </w:r>
          </w:p>
        </w:tc>
        <w:tc>
          <w:tcPr>
            <w:tcW w:w="7214" w:type="dxa"/>
          </w:tcPr>
          <w:p w14:paraId="4EE408D0" w14:textId="37CCDC08"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Ulama yang tidak membolehkan:</w:t>
            </w:r>
          </w:p>
          <w:p w14:paraId="4842BDA3" w14:textId="4921F932"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Imam Syafi’i</w:t>
            </w:r>
          </w:p>
          <w:p w14:paraId="071E4339" w14:textId="3761C849"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Imam Malik</w:t>
            </w:r>
          </w:p>
          <w:p w14:paraId="06BCE0C8" w14:textId="3D4D592F" w:rsidR="006736CB" w:rsidRPr="006736CB" w:rsidRDefault="006736CB" w:rsidP="00743F2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Imam Ahmad bin Hanbal</w:t>
            </w:r>
          </w:p>
          <w:p w14:paraId="1880B190" w14:textId="77777777" w:rsidR="006736CB" w:rsidRDefault="006736CB" w:rsidP="00C710C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Mayoritas ulama (jumhur)</w:t>
            </w:r>
          </w:p>
          <w:p w14:paraId="5EC3D592" w14:textId="6BB47978" w:rsidR="004E29B3" w:rsidRPr="006736CB" w:rsidRDefault="004E29B3" w:rsidP="00C710C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5" w:history="1">
              <w:r w:rsidRPr="007B54DF">
                <w:rPr>
                  <w:rStyle w:val="Hyperlink"/>
                  <w:rFonts w:ascii="Times New Roman" w:hAnsi="Times New Roman" w:cs="Times New Roman"/>
                  <w:sz w:val="24"/>
                  <w:szCs w:val="24"/>
                </w:rPr>
                <w:t>https://doi.org/10.22373/al-ijtimaiyyah.v8i1.13397</w:t>
              </w:r>
            </w:hyperlink>
            <w:r>
              <w:rPr>
                <w:rFonts w:ascii="Times New Roman" w:hAnsi="Times New Roman" w:cs="Times New Roman"/>
                <w:sz w:val="24"/>
                <w:szCs w:val="24"/>
              </w:rPr>
              <w:t xml:space="preserve"> </w:t>
            </w:r>
          </w:p>
        </w:tc>
      </w:tr>
      <w:tr w:rsidR="006736CB" w14:paraId="3183A084" w14:textId="77777777" w:rsidTr="00743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6C890975" w14:textId="50775361" w:rsidR="006736CB" w:rsidRDefault="00C710C8" w:rsidP="00743F28">
            <w:pPr>
              <w:spacing w:line="360" w:lineRule="auto"/>
              <w:jc w:val="both"/>
              <w:rPr>
                <w:rFonts w:ascii="Times New Roman" w:hAnsi="Times New Roman" w:cs="Times New Roman"/>
                <w:sz w:val="24"/>
                <w:szCs w:val="24"/>
              </w:rPr>
            </w:pPr>
            <w:r>
              <w:rPr>
                <w:rFonts w:ascii="Times New Roman" w:hAnsi="Times New Roman" w:cs="Times New Roman"/>
                <w:sz w:val="24"/>
                <w:szCs w:val="24"/>
              </w:rPr>
              <w:t>17</w:t>
            </w:r>
          </w:p>
        </w:tc>
        <w:tc>
          <w:tcPr>
            <w:tcW w:w="1764" w:type="dxa"/>
          </w:tcPr>
          <w:p w14:paraId="603CB68D" w14:textId="1803FF1F" w:rsidR="006736CB" w:rsidRPr="006736CB" w:rsidRDefault="006736CB" w:rsidP="00743F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Analisis pendapat pribadi berdasarkan data nomor 1–16</w:t>
            </w:r>
          </w:p>
        </w:tc>
        <w:tc>
          <w:tcPr>
            <w:tcW w:w="7214" w:type="dxa"/>
          </w:tcPr>
          <w:p w14:paraId="12961737" w14:textId="36D90475" w:rsidR="006736CB" w:rsidRDefault="006736CB" w:rsidP="00743F2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36CB">
              <w:rPr>
                <w:rFonts w:ascii="Times New Roman" w:hAnsi="Times New Roman" w:cs="Times New Roman"/>
                <w:sz w:val="24"/>
                <w:szCs w:val="24"/>
              </w:rPr>
              <w:t>Menurut saya, pendapat jumhur ulama yang menyatakan nikah tanpa wali tidak sah lebih kuat karena didukung hadis shahih yang jelas dan dipegang mayoritas ulama. Selain itu, keberadaan wali dapat menjaga kehormatan serta melindungi perempuan dalam pernikahan. Namun, pendapat Hanafi juga memiliki nilai positif karena memperhatikan hak perempuan dewasa dalam menentukan pilihan hidupnya. Oleh karena itu, menurut saya keberadaan wali tetap penting, tetapi wali juga tidak boleh mempersulit pernikahan tanpa alasan yang benar menurut syariat.</w:t>
            </w:r>
          </w:p>
          <w:p w14:paraId="1434328A" w14:textId="77777777" w:rsidR="006736CB" w:rsidRPr="006736CB" w:rsidRDefault="006736CB" w:rsidP="00C710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58537710" w14:textId="77777777" w:rsidR="00BC0C81" w:rsidRDefault="00BC0C81"/>
    <w:sectPr w:rsidR="00BC0C81" w:rsidSect="00F72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29A2284"/>
    <w:lvl w:ilvl="0" w:tplc="62FE18C4">
      <w:start w:val="1"/>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0840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7D"/>
    <w:rsid w:val="003A6243"/>
    <w:rsid w:val="004E29B3"/>
    <w:rsid w:val="006736CB"/>
    <w:rsid w:val="00743F28"/>
    <w:rsid w:val="00761829"/>
    <w:rsid w:val="00BC0C81"/>
    <w:rsid w:val="00C710C8"/>
    <w:rsid w:val="00F72F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3A10"/>
  <w15:chartTrackingRefBased/>
  <w15:docId w15:val="{508D9C9E-3C1B-46F0-A7F8-1CC45AA5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F7D"/>
    <w:rPr>
      <w:rFonts w:ascii="Calibri" w:eastAsia="Calibri" w:hAnsi="Calibri" w:cs="SimSun"/>
    </w:rPr>
  </w:style>
  <w:style w:type="paragraph" w:styleId="Heading1">
    <w:name w:val="heading 1"/>
    <w:basedOn w:val="Normal"/>
    <w:next w:val="Normal"/>
    <w:link w:val="Heading1Char"/>
    <w:uiPriority w:val="9"/>
    <w:qFormat/>
    <w:rsid w:val="00F72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F7D"/>
    <w:rPr>
      <w:rFonts w:eastAsiaTheme="majorEastAsia" w:cstheme="majorBidi"/>
      <w:color w:val="272727" w:themeColor="text1" w:themeTint="D8"/>
    </w:rPr>
  </w:style>
  <w:style w:type="paragraph" w:styleId="Title">
    <w:name w:val="Title"/>
    <w:basedOn w:val="Normal"/>
    <w:next w:val="Normal"/>
    <w:link w:val="TitleChar"/>
    <w:uiPriority w:val="10"/>
    <w:qFormat/>
    <w:rsid w:val="00F72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F7D"/>
    <w:pPr>
      <w:spacing w:before="160"/>
      <w:jc w:val="center"/>
    </w:pPr>
    <w:rPr>
      <w:i/>
      <w:iCs/>
      <w:color w:val="404040" w:themeColor="text1" w:themeTint="BF"/>
    </w:rPr>
  </w:style>
  <w:style w:type="character" w:customStyle="1" w:styleId="QuoteChar">
    <w:name w:val="Quote Char"/>
    <w:basedOn w:val="DefaultParagraphFont"/>
    <w:link w:val="Quote"/>
    <w:uiPriority w:val="29"/>
    <w:rsid w:val="00F72F7D"/>
    <w:rPr>
      <w:i/>
      <w:iCs/>
      <w:color w:val="404040" w:themeColor="text1" w:themeTint="BF"/>
    </w:rPr>
  </w:style>
  <w:style w:type="paragraph" w:styleId="ListParagraph">
    <w:name w:val="List Paragraph"/>
    <w:basedOn w:val="Normal"/>
    <w:uiPriority w:val="34"/>
    <w:qFormat/>
    <w:rsid w:val="00F72F7D"/>
    <w:pPr>
      <w:ind w:left="720"/>
      <w:contextualSpacing/>
    </w:pPr>
  </w:style>
  <w:style w:type="character" w:styleId="IntenseEmphasis">
    <w:name w:val="Intense Emphasis"/>
    <w:basedOn w:val="DefaultParagraphFont"/>
    <w:uiPriority w:val="21"/>
    <w:qFormat/>
    <w:rsid w:val="00F72F7D"/>
    <w:rPr>
      <w:i/>
      <w:iCs/>
      <w:color w:val="2F5496" w:themeColor="accent1" w:themeShade="BF"/>
    </w:rPr>
  </w:style>
  <w:style w:type="paragraph" w:styleId="IntenseQuote">
    <w:name w:val="Intense Quote"/>
    <w:basedOn w:val="Normal"/>
    <w:next w:val="Normal"/>
    <w:link w:val="IntenseQuoteChar"/>
    <w:uiPriority w:val="30"/>
    <w:qFormat/>
    <w:rsid w:val="00F72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F7D"/>
    <w:rPr>
      <w:i/>
      <w:iCs/>
      <w:color w:val="2F5496" w:themeColor="accent1" w:themeShade="BF"/>
    </w:rPr>
  </w:style>
  <w:style w:type="character" w:styleId="IntenseReference">
    <w:name w:val="Intense Reference"/>
    <w:basedOn w:val="DefaultParagraphFont"/>
    <w:uiPriority w:val="32"/>
    <w:qFormat/>
    <w:rsid w:val="00F72F7D"/>
    <w:rPr>
      <w:b/>
      <w:bCs/>
      <w:smallCaps/>
      <w:color w:val="2F5496" w:themeColor="accent1" w:themeShade="BF"/>
      <w:spacing w:val="5"/>
    </w:rPr>
  </w:style>
  <w:style w:type="table" w:styleId="TableGrid">
    <w:name w:val="Table Grid"/>
    <w:basedOn w:val="TableNormal"/>
    <w:uiPriority w:val="39"/>
    <w:rsid w:val="00F72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36CB"/>
    <w:rPr>
      <w:color w:val="0563C1" w:themeColor="hyperlink"/>
      <w:u w:val="single"/>
    </w:rPr>
  </w:style>
  <w:style w:type="character" w:styleId="UnresolvedMention">
    <w:name w:val="Unresolved Mention"/>
    <w:basedOn w:val="DefaultParagraphFont"/>
    <w:uiPriority w:val="99"/>
    <w:semiHidden/>
    <w:unhideWhenUsed/>
    <w:rsid w:val="006736CB"/>
    <w:rPr>
      <w:color w:val="605E5C"/>
      <w:shd w:val="clear" w:color="auto" w:fill="E1DFDD"/>
    </w:rPr>
  </w:style>
  <w:style w:type="table" w:styleId="GridTable5Dark-Accent3">
    <w:name w:val="Grid Table 5 Dark Accent 3"/>
    <w:basedOn w:val="TableNormal"/>
    <w:uiPriority w:val="50"/>
    <w:rsid w:val="00743F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3-Accent3">
    <w:name w:val="List Table 3 Accent 3"/>
    <w:basedOn w:val="TableNormal"/>
    <w:uiPriority w:val="48"/>
    <w:rsid w:val="00743F2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0736/adk.v15i2.544" TargetMode="External"/><Relationship Id="rId13" Type="http://schemas.openxmlformats.org/officeDocument/2006/relationships/hyperlink" Target="https://doi.org/10.22373/al-ijtimaiyyah.v8i1.13397" TargetMode="External"/><Relationship Id="rId18" Type="http://schemas.openxmlformats.org/officeDocument/2006/relationships/hyperlink" Target="https://urj.uin-malang.ac.id/index.php/jfs/article/view/42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2373/al-ijtimaiyyah.v8i1.13397" TargetMode="External"/><Relationship Id="rId7" Type="http://schemas.openxmlformats.org/officeDocument/2006/relationships/hyperlink" Target="https://dx.doi.org/10.22373/sjhk.v2i1.3103" TargetMode="External"/><Relationship Id="rId12" Type="http://schemas.openxmlformats.org/officeDocument/2006/relationships/hyperlink" Target="https://urj.uin-malang.ac.id/index.php/jfs/article/view/427" TargetMode="External"/><Relationship Id="rId17" Type="http://schemas.openxmlformats.org/officeDocument/2006/relationships/hyperlink" Target="https://urj.uin-malang.ac.id/index.php/jfs/article/view/427" TargetMode="External"/><Relationship Id="rId25" Type="http://schemas.openxmlformats.org/officeDocument/2006/relationships/hyperlink" Target="https://doi.org/10.22373/al-ijtimaiyyah.v8i1.13397" TargetMode="External"/><Relationship Id="rId2" Type="http://schemas.openxmlformats.org/officeDocument/2006/relationships/numbering" Target="numbering.xml"/><Relationship Id="rId16" Type="http://schemas.openxmlformats.org/officeDocument/2006/relationships/hyperlink" Target="https://doi.org/10.22373/al-ijtimaiyyah.v8i1.13397" TargetMode="External"/><Relationship Id="rId20" Type="http://schemas.openxmlformats.org/officeDocument/2006/relationships/hyperlink" Target="https://dx.doi.org/10.22373/sjhk.v2i1.3103" TargetMode="External"/><Relationship Id="rId1" Type="http://schemas.openxmlformats.org/officeDocument/2006/relationships/customXml" Target="../customXml/item1.xml"/><Relationship Id="rId6" Type="http://schemas.openxmlformats.org/officeDocument/2006/relationships/hyperlink" Target="https://doi.org/10.30736/adk.v15i2.544" TargetMode="External"/><Relationship Id="rId11" Type="http://schemas.openxmlformats.org/officeDocument/2006/relationships/hyperlink" Target="https://doi.org/10.22373/al-ijtimaiyyah.v8i1.13397" TargetMode="External"/><Relationship Id="rId24" Type="http://schemas.openxmlformats.org/officeDocument/2006/relationships/hyperlink" Target="https://doi.org/10.30736/adk.v15i2.544" TargetMode="External"/><Relationship Id="rId5" Type="http://schemas.openxmlformats.org/officeDocument/2006/relationships/webSettings" Target="webSettings.xml"/><Relationship Id="rId15" Type="http://schemas.openxmlformats.org/officeDocument/2006/relationships/hyperlink" Target="https://doi.org/10.22373/al-ijtimaiyyah.v8i1.13397" TargetMode="External"/><Relationship Id="rId23" Type="http://schemas.openxmlformats.org/officeDocument/2006/relationships/hyperlink" Target="https://urj.uin-malang.ac.id/index.php/jfs/article/view/427" TargetMode="External"/><Relationship Id="rId10" Type="http://schemas.openxmlformats.org/officeDocument/2006/relationships/hyperlink" Target="https://jurnal.ar-raniry.ac.id/index.php/PMI/article/view/13397?utm_source=chatgpt.com" TargetMode="External"/><Relationship Id="rId19" Type="http://schemas.openxmlformats.org/officeDocument/2006/relationships/hyperlink" Target="https://doi.org/10.61817/jifala.v1i1.307" TargetMode="External"/><Relationship Id="rId4" Type="http://schemas.openxmlformats.org/officeDocument/2006/relationships/settings" Target="settings.xml"/><Relationship Id="rId9" Type="http://schemas.openxmlformats.org/officeDocument/2006/relationships/hyperlink" Target="https://jurnal.arraniry.ac.id/index.php/samarah/article/view/3103.html" TargetMode="External"/><Relationship Id="rId14" Type="http://schemas.openxmlformats.org/officeDocument/2006/relationships/hyperlink" Target="https://dx.doi.org/10.22373/sjhk.v2i1.3103" TargetMode="External"/><Relationship Id="rId22" Type="http://schemas.openxmlformats.org/officeDocument/2006/relationships/hyperlink" Target="https://doi.org/10.22373/al-ijtimaiyyah.v8i1.1339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CF8CF-0839-4137-8386-A5BC79E16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Nikma Jaenab</dc:creator>
  <cp:keywords/>
  <dc:description/>
  <cp:lastModifiedBy>Nikma Jaenab</cp:lastModifiedBy>
  <cp:revision>1</cp:revision>
  <dcterms:created xsi:type="dcterms:W3CDTF">2026-05-21T03:29:00Z</dcterms:created>
  <dcterms:modified xsi:type="dcterms:W3CDTF">2026-05-21T04:17:00Z</dcterms:modified>
</cp:coreProperties>
</file>