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15D" w:rsidRDefault="00C86B9A" w:rsidP="00224293">
      <w:pPr>
        <w:pStyle w:val="Title"/>
        <w:rPr>
          <w:color w:val="auto"/>
        </w:rPr>
      </w:pPr>
      <w:proofErr w:type="spellStart"/>
      <w:r w:rsidRPr="00224293">
        <w:rPr>
          <w:color w:val="auto"/>
        </w:rPr>
        <w:t>Hukum</w:t>
      </w:r>
      <w:proofErr w:type="spellEnd"/>
      <w:r w:rsidRPr="00224293">
        <w:rPr>
          <w:color w:val="auto"/>
        </w:rPr>
        <w:t xml:space="preserve"> </w:t>
      </w:r>
      <w:proofErr w:type="spellStart"/>
      <w:r w:rsidRPr="00224293">
        <w:rPr>
          <w:color w:val="auto"/>
        </w:rPr>
        <w:t>menikah</w:t>
      </w:r>
      <w:proofErr w:type="spellEnd"/>
      <w:r w:rsidRPr="00224293">
        <w:rPr>
          <w:color w:val="auto"/>
        </w:rPr>
        <w:t xml:space="preserve"> </w:t>
      </w:r>
      <w:proofErr w:type="spellStart"/>
      <w:r w:rsidRPr="00224293">
        <w:rPr>
          <w:color w:val="auto"/>
        </w:rPr>
        <w:t>tanpa</w:t>
      </w:r>
      <w:proofErr w:type="spellEnd"/>
      <w:r w:rsidRPr="00224293">
        <w:rPr>
          <w:color w:val="auto"/>
        </w:rPr>
        <w:t xml:space="preserve"> </w:t>
      </w:r>
      <w:proofErr w:type="spellStart"/>
      <w:r w:rsidRPr="00224293">
        <w:rPr>
          <w:color w:val="auto"/>
        </w:rPr>
        <w:t>wali</w:t>
      </w:r>
      <w:proofErr w:type="spellEnd"/>
      <w:r w:rsidRPr="00224293">
        <w:rPr>
          <w:color w:val="auto"/>
        </w:rPr>
        <w:t>?</w:t>
      </w:r>
    </w:p>
    <w:p w:rsidR="00224293" w:rsidRDefault="00224293" w:rsidP="00224293">
      <w:r>
        <w:t xml:space="preserve">Nama: </w:t>
      </w:r>
      <w:proofErr w:type="spellStart"/>
      <w:r>
        <w:t>Himmatul</w:t>
      </w:r>
      <w:proofErr w:type="spellEnd"/>
      <w:r>
        <w:t xml:space="preserve"> </w:t>
      </w:r>
      <w:proofErr w:type="spellStart"/>
      <w:r>
        <w:t>Fitria</w:t>
      </w:r>
      <w:proofErr w:type="spellEnd"/>
      <w:r>
        <w:t xml:space="preserve"> (23051096)</w:t>
      </w:r>
    </w:p>
    <w:p w:rsidR="00224293" w:rsidRPr="00224293" w:rsidRDefault="00224293" w:rsidP="00224293">
      <w:proofErr w:type="spellStart"/>
      <w:r>
        <w:t>Pai</w:t>
      </w:r>
      <w:proofErr w:type="spellEnd"/>
      <w:r>
        <w:t xml:space="preserve"> 5c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A215D">
        <w:tc>
          <w:tcPr>
            <w:tcW w:w="4320" w:type="dxa"/>
          </w:tcPr>
          <w:p w:rsidR="006A215D" w:rsidRPr="00224293" w:rsidRDefault="0066425B" w:rsidP="00224293">
            <w:pPr>
              <w:jc w:val="center"/>
              <w:rPr>
                <w:b/>
                <w:bCs/>
              </w:rPr>
            </w:pPr>
            <w:proofErr w:type="spellStart"/>
            <w:r w:rsidRPr="00224293">
              <w:rPr>
                <w:b/>
                <w:bCs/>
              </w:rPr>
              <w:t>Pendapat</w:t>
            </w:r>
            <w:proofErr w:type="spellEnd"/>
            <w:r w:rsidRPr="00224293">
              <w:rPr>
                <w:b/>
                <w:bCs/>
              </w:rPr>
              <w:t xml:space="preserve"> </w:t>
            </w:r>
            <w:proofErr w:type="spellStart"/>
            <w:r w:rsidRPr="00224293">
              <w:rPr>
                <w:b/>
                <w:bCs/>
              </w:rPr>
              <w:t>pertama</w:t>
            </w:r>
            <w:proofErr w:type="spellEnd"/>
          </w:p>
        </w:tc>
        <w:tc>
          <w:tcPr>
            <w:tcW w:w="4320" w:type="dxa"/>
          </w:tcPr>
          <w:p w:rsidR="006A215D" w:rsidRPr="00224293" w:rsidRDefault="0066425B" w:rsidP="00224293">
            <w:pPr>
              <w:jc w:val="center"/>
              <w:rPr>
                <w:b/>
                <w:bCs/>
              </w:rPr>
            </w:pPr>
            <w:proofErr w:type="spellStart"/>
            <w:r w:rsidRPr="00224293">
              <w:rPr>
                <w:b/>
                <w:bCs/>
              </w:rPr>
              <w:t>P</w:t>
            </w:r>
            <w:r w:rsidRPr="00224293">
              <w:rPr>
                <w:b/>
                <w:bCs/>
              </w:rPr>
              <w:t>endapat</w:t>
            </w:r>
            <w:proofErr w:type="spellEnd"/>
            <w:r w:rsidRPr="00224293">
              <w:rPr>
                <w:b/>
                <w:bCs/>
              </w:rPr>
              <w:t xml:space="preserve"> </w:t>
            </w:r>
            <w:proofErr w:type="spellStart"/>
            <w:r w:rsidRPr="00224293">
              <w:rPr>
                <w:b/>
                <w:bCs/>
              </w:rPr>
              <w:t>kedua</w:t>
            </w:r>
            <w:proofErr w:type="spellEnd"/>
          </w:p>
        </w:tc>
      </w:tr>
      <w:tr w:rsidR="006A215D">
        <w:trPr>
          <w:trHeight w:val="1429"/>
        </w:trPr>
        <w:tc>
          <w:tcPr>
            <w:tcW w:w="4320" w:type="dxa"/>
          </w:tcPr>
          <w:p w:rsidR="006A215D" w:rsidRDefault="00C86B9A">
            <w:proofErr w:type="spellStart"/>
            <w:r>
              <w:t>pendapat</w:t>
            </w:r>
            <w:proofErr w:type="spellEnd"/>
            <w:r>
              <w:t xml:space="preserve"> </w:t>
            </w:r>
            <w:proofErr w:type="spellStart"/>
            <w:r>
              <w:t>mazhab</w:t>
            </w:r>
            <w:proofErr w:type="spellEnd"/>
            <w:r>
              <w:t xml:space="preserve"> Hanafi yang </w:t>
            </w:r>
            <w:proofErr w:type="spellStart"/>
            <w:r>
              <w:t>membolehkan</w:t>
            </w:r>
            <w:proofErr w:type="spellEnd"/>
            <w:r>
              <w:t xml:space="preserve"> </w:t>
            </w:r>
            <w:proofErr w:type="spellStart"/>
            <w:r>
              <w:t>perempuan</w:t>
            </w:r>
            <w:proofErr w:type="spellEnd"/>
            <w:r>
              <w:t xml:space="preserve"> </w:t>
            </w:r>
            <w:proofErr w:type="spellStart"/>
            <w:r>
              <w:t>dewasa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berakal</w:t>
            </w:r>
            <w:proofErr w:type="spellEnd"/>
            <w:r>
              <w:t xml:space="preserve"> </w:t>
            </w:r>
            <w:proofErr w:type="spellStart"/>
            <w:r>
              <w:t>menikahkan</w:t>
            </w:r>
            <w:proofErr w:type="spellEnd"/>
            <w:r>
              <w:t xml:space="preserve"> </w:t>
            </w:r>
            <w:proofErr w:type="spellStart"/>
            <w:r>
              <w:t>dirinya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. </w:t>
            </w:r>
            <w:proofErr w:type="spellStart"/>
            <w:r>
              <w:t>Menurut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, </w:t>
            </w:r>
            <w:proofErr w:type="spellStart"/>
            <w:r>
              <w:t>perempuan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dirinya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akad</w:t>
            </w:r>
            <w:proofErr w:type="spellEnd"/>
            <w:r>
              <w:t xml:space="preserve"> </w:t>
            </w:r>
            <w:proofErr w:type="spellStart"/>
            <w:r>
              <w:t>nikah</w:t>
            </w:r>
            <w:proofErr w:type="spellEnd"/>
            <w:r>
              <w:t xml:space="preserve"> </w:t>
            </w:r>
            <w:proofErr w:type="spellStart"/>
            <w:r>
              <w:t>sebagaimana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muamalah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.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syaratnya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</w:t>
            </w:r>
            <w:proofErr w:type="spellStart"/>
            <w:r>
              <w:t>suami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sekufu</w:t>
            </w:r>
            <w:proofErr w:type="spellEnd"/>
            <w:r>
              <w:t xml:space="preserve"> (</w:t>
            </w:r>
            <w:proofErr w:type="spellStart"/>
            <w:r>
              <w:t>setara</w:t>
            </w:r>
            <w:proofErr w:type="spellEnd"/>
            <w:r>
              <w:t>).</w:t>
            </w:r>
            <w:r w:rsidR="00224293">
              <w:rPr>
                <w:rStyle w:val="FootnoteReference"/>
              </w:rPr>
              <w:footnoteReference w:id="1"/>
            </w:r>
          </w:p>
        </w:tc>
        <w:tc>
          <w:tcPr>
            <w:tcW w:w="4320" w:type="dxa"/>
          </w:tcPr>
          <w:p w:rsidR="006A215D" w:rsidRDefault="00C86B9A">
            <w:proofErr w:type="spellStart"/>
            <w:r>
              <w:t>Pendapat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pendapat</w:t>
            </w:r>
            <w:proofErr w:type="spellEnd"/>
            <w:r>
              <w:t xml:space="preserve"> </w:t>
            </w:r>
            <w:proofErr w:type="spellStart"/>
            <w:r>
              <w:t>jumhur</w:t>
            </w:r>
            <w:proofErr w:type="spellEnd"/>
            <w:r>
              <w:t xml:space="preserve"> </w:t>
            </w:r>
            <w:proofErr w:type="spellStart"/>
            <w:r>
              <w:t>ulama</w:t>
            </w:r>
            <w:proofErr w:type="spellEnd"/>
            <w:r>
              <w:t xml:space="preserve"> (</w:t>
            </w:r>
            <w:proofErr w:type="spellStart"/>
            <w:r>
              <w:t>Syafi’i</w:t>
            </w:r>
            <w:proofErr w:type="spellEnd"/>
            <w:r>
              <w:t xml:space="preserve">, Maliki, </w:t>
            </w:r>
            <w:proofErr w:type="spellStart"/>
            <w:r>
              <w:t>Hanbali</w:t>
            </w:r>
            <w:proofErr w:type="spellEnd"/>
            <w:r>
              <w:t xml:space="preserve">) yang </w:t>
            </w:r>
            <w:proofErr w:type="spellStart"/>
            <w:r>
              <w:t>menyatakan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rukun</w:t>
            </w:r>
            <w:proofErr w:type="spellEnd"/>
            <w:r>
              <w:t xml:space="preserve"> </w:t>
            </w:r>
            <w:proofErr w:type="spellStart"/>
            <w:r>
              <w:t>nikah</w:t>
            </w:r>
            <w:proofErr w:type="spellEnd"/>
            <w:r>
              <w:t xml:space="preserve">.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akad</w:t>
            </w:r>
            <w:proofErr w:type="spellEnd"/>
            <w:r>
              <w:t xml:space="preserve"> </w:t>
            </w:r>
            <w:proofErr w:type="spellStart"/>
            <w:r>
              <w:t>nikah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sah</w:t>
            </w:r>
            <w:proofErr w:type="spellEnd"/>
            <w:r>
              <w:t xml:space="preserve">. </w:t>
            </w:r>
            <w:proofErr w:type="spellStart"/>
            <w:r>
              <w:t>Mereka</w:t>
            </w:r>
            <w:proofErr w:type="spellEnd"/>
            <w:r>
              <w:t xml:space="preserve"> </w:t>
            </w:r>
            <w:proofErr w:type="spellStart"/>
            <w:r>
              <w:t>menegaskan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kemaslahatan</w:t>
            </w:r>
            <w:proofErr w:type="spellEnd"/>
            <w:r>
              <w:t xml:space="preserve"> </w:t>
            </w:r>
            <w:proofErr w:type="spellStart"/>
            <w:r>
              <w:t>pere</w:t>
            </w:r>
            <w:r w:rsidR="00224293">
              <w:t>mpuan</w:t>
            </w:r>
            <w:proofErr w:type="spellEnd"/>
            <w:r w:rsidR="00224293">
              <w:t xml:space="preserve"> </w:t>
            </w:r>
            <w:proofErr w:type="spellStart"/>
            <w:r w:rsidR="00224293">
              <w:t>dan</w:t>
            </w:r>
            <w:proofErr w:type="spellEnd"/>
            <w:r w:rsidR="00224293">
              <w:t xml:space="preserve"> </w:t>
            </w:r>
            <w:proofErr w:type="spellStart"/>
            <w:r w:rsidR="00224293">
              <w:t>keabsahan</w:t>
            </w:r>
            <w:proofErr w:type="spellEnd"/>
            <w:r w:rsidR="00224293">
              <w:t xml:space="preserve"> </w:t>
            </w:r>
            <w:proofErr w:type="spellStart"/>
            <w:r w:rsidR="00224293">
              <w:t>akad</w:t>
            </w:r>
            <w:proofErr w:type="spellEnd"/>
            <w:r w:rsidR="00224293">
              <w:t xml:space="preserve">. </w:t>
            </w:r>
            <w:r w:rsidR="00224293">
              <w:rPr>
                <w:rStyle w:val="FootnoteReference"/>
              </w:rPr>
              <w:footnoteReference w:id="2"/>
            </w:r>
          </w:p>
        </w:tc>
      </w:tr>
      <w:tr w:rsidR="006A215D">
        <w:trPr>
          <w:trHeight w:val="1402"/>
        </w:trPr>
        <w:tc>
          <w:tcPr>
            <w:tcW w:w="4320" w:type="dxa"/>
          </w:tcPr>
          <w:p w:rsidR="000A1787" w:rsidRDefault="000A1787" w:rsidP="000A178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  <w:rtl/>
              </w:rPr>
              <w:t>أَنَّ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النَّبِيَّ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صَلَّى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اللَّهُ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عَلَيْهِ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وَسَلَّمَ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قَالَ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الْأَيِّمُ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أَحَقُّ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بِنَفْسِهَا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مِنْ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وَلِيِّهَا</w:t>
            </w:r>
          </w:p>
          <w:p w:rsidR="000A1787" w:rsidRDefault="000A1787" w:rsidP="000A1787">
            <w:pPr>
              <w:jc w:val="right"/>
              <w:rPr>
                <w:rFonts w:ascii="Times New Roman" w:hAnsi="Times New Roman" w:cs="Times New Roman"/>
              </w:rPr>
            </w:pPr>
            <w:r>
              <w:t>(</w:t>
            </w:r>
            <w:r>
              <w:rPr>
                <w:rFonts w:ascii="Times New Roman" w:hAnsi="Times New Roman" w:cs="Times New Roman" w:hint="cs"/>
                <w:rtl/>
              </w:rPr>
              <w:t>رواه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مسلم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وأبو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داود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والترمذي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والنسائي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ومالك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في</w:t>
            </w:r>
            <w:r>
              <w:rPr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rtl/>
              </w:rPr>
              <w:t>الموطأ</w:t>
            </w:r>
          </w:p>
          <w:p w:rsidR="000A1787" w:rsidRDefault="000A1787" w:rsidP="000A1787">
            <w:pPr>
              <w:rPr>
                <w:rFonts w:ascii="Times New Roman" w:hAnsi="Times New Roman" w:cs="Times New Roman"/>
              </w:rPr>
            </w:pPr>
          </w:p>
          <w:p w:rsidR="000A1787" w:rsidRPr="000A1787" w:rsidRDefault="000A1787" w:rsidP="000A1787">
            <w:pPr>
              <w:rPr>
                <w:rFonts w:ascii="Times New Roman" w:hAnsi="Times New Roman" w:cs="Times New Roman"/>
              </w:rPr>
            </w:pPr>
            <w:proofErr w:type="spellStart"/>
            <w:r>
              <w:t>Artinya</w:t>
            </w:r>
            <w:proofErr w:type="spellEnd"/>
            <w:r>
              <w:t>:</w:t>
            </w:r>
            <w:r>
              <w:br/>
              <w:t>“</w:t>
            </w:r>
            <w:proofErr w:type="spellStart"/>
            <w:r>
              <w:t>Sesungguhnya</w:t>
            </w:r>
            <w:proofErr w:type="spellEnd"/>
            <w:r>
              <w:t xml:space="preserve"> </w:t>
            </w:r>
            <w:proofErr w:type="spellStart"/>
            <w:r>
              <w:t>Nabi</w:t>
            </w:r>
            <w:proofErr w:type="spellEnd"/>
            <w:r>
              <w:t xml:space="preserve"> SAW </w:t>
            </w:r>
            <w:proofErr w:type="spellStart"/>
            <w:r>
              <w:t>bersabda</w:t>
            </w:r>
            <w:proofErr w:type="spellEnd"/>
            <w:r>
              <w:t xml:space="preserve">: </w:t>
            </w:r>
            <w:proofErr w:type="spellStart"/>
            <w:r>
              <w:t>Perempuan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bersuami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berhak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dirinya</w:t>
            </w:r>
            <w:proofErr w:type="spellEnd"/>
            <w:r>
              <w:t xml:space="preserve"> </w:t>
            </w:r>
            <w:proofErr w:type="spellStart"/>
            <w:r>
              <w:t>daripada</w:t>
            </w:r>
            <w:proofErr w:type="spellEnd"/>
            <w:r>
              <w:t xml:space="preserve"> </w:t>
            </w:r>
            <w:proofErr w:type="spellStart"/>
            <w:r>
              <w:t>walinya</w:t>
            </w:r>
            <w:proofErr w:type="spellEnd"/>
            <w:r>
              <w:t>.”</w:t>
            </w:r>
            <w:r>
              <w:br/>
              <w:t xml:space="preserve">(HR. Muslim, Abu </w:t>
            </w:r>
            <w:proofErr w:type="spellStart"/>
            <w:r>
              <w:t>Dawud</w:t>
            </w:r>
            <w:proofErr w:type="spellEnd"/>
            <w:r>
              <w:t xml:space="preserve">, </w:t>
            </w:r>
            <w:proofErr w:type="spellStart"/>
            <w:r>
              <w:t>Tirmidzi</w:t>
            </w:r>
            <w:proofErr w:type="spellEnd"/>
            <w:r>
              <w:t xml:space="preserve">, </w:t>
            </w:r>
            <w:proofErr w:type="spellStart"/>
            <w:r>
              <w:t>Nasa’i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Malik)</w:t>
            </w:r>
          </w:p>
        </w:tc>
        <w:tc>
          <w:tcPr>
            <w:tcW w:w="4320" w:type="dxa"/>
          </w:tcPr>
          <w:p w:rsidR="000A1787" w:rsidRPr="000A1787" w:rsidRDefault="000A1787" w:rsidP="000A1787">
            <w:pPr>
              <w:rPr>
                <w:rFonts w:ascii="Times New Roman" w:hAnsi="Times New Roman" w:cs="Times New Roman"/>
              </w:rPr>
            </w:pPr>
          </w:p>
          <w:p w:rsidR="000A1787" w:rsidRDefault="000A1787" w:rsidP="000A1787">
            <w:pPr>
              <w:jc w:val="right"/>
              <w:rPr>
                <w:rFonts w:cs="Times New Roman"/>
                <w:lang w:val="en-GB"/>
              </w:rPr>
            </w:pPr>
            <w:r w:rsidRPr="000A1787">
              <w:rPr>
                <w:rFonts w:cs="Times New Roman" w:hint="cs"/>
                <w:rtl/>
                <w:lang w:val="en-GB"/>
              </w:rPr>
              <w:t>لَا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نِكَاحَ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إِلَّا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بِوَلِيٍّ</w:t>
            </w:r>
            <w:r w:rsidRPr="000A1787">
              <w:rPr>
                <w:rFonts w:cs="Times New Roman"/>
                <w:rtl/>
                <w:lang w:val="en-GB"/>
              </w:rPr>
              <w:t xml:space="preserve">، </w:t>
            </w:r>
            <w:r w:rsidRPr="000A1787">
              <w:rPr>
                <w:rFonts w:cs="Times New Roman" w:hint="cs"/>
                <w:rtl/>
                <w:lang w:val="en-GB"/>
              </w:rPr>
              <w:t>وَأَيُّمَا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امْرَأَةٍ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نُكِحَتْ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بِغَيْرِ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وَلِيٍّ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فَنِكَاحُهَا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بَاطِلٌ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بَاطِلٌ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بَاطِلٌ</w:t>
            </w:r>
            <w:r w:rsidRPr="000A1787">
              <w:rPr>
                <w:rFonts w:cs="Times New Roman"/>
                <w:rtl/>
                <w:lang w:val="en-GB"/>
              </w:rPr>
              <w:t xml:space="preserve">، </w:t>
            </w:r>
            <w:r w:rsidRPr="000A1787">
              <w:rPr>
                <w:rFonts w:cs="Times New Roman" w:hint="cs"/>
                <w:rtl/>
                <w:lang w:val="en-GB"/>
              </w:rPr>
              <w:t>فَإِنْ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لَمْ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يَكُنْ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لَهَا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وَلِيُّ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فَالسُّلْطَانُ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وَلِيُّ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مَنْ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لَا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وَلِيَّ</w:t>
            </w:r>
            <w:r w:rsidRPr="000A1787">
              <w:rPr>
                <w:rFonts w:cs="Times New Roman"/>
                <w:rtl/>
                <w:lang w:val="en-GB"/>
              </w:rPr>
              <w:t xml:space="preserve"> </w:t>
            </w:r>
            <w:r w:rsidRPr="000A1787">
              <w:rPr>
                <w:rFonts w:cs="Times New Roman" w:hint="cs"/>
                <w:rtl/>
                <w:lang w:val="en-GB"/>
              </w:rPr>
              <w:t>لَهُ</w:t>
            </w:r>
          </w:p>
          <w:p w:rsidR="000A1787" w:rsidRDefault="000A1787" w:rsidP="000A1787">
            <w:pPr>
              <w:rPr>
                <w:rFonts w:cs="Times New Roman"/>
                <w:lang w:val="en-GB"/>
              </w:rPr>
            </w:pPr>
          </w:p>
          <w:p w:rsidR="000A1787" w:rsidRPr="000A1787" w:rsidRDefault="000A1787" w:rsidP="000A1787">
            <w:pPr>
              <w:rPr>
                <w:lang w:val="en-GB"/>
              </w:rPr>
            </w:pPr>
            <w:proofErr w:type="spellStart"/>
            <w:r w:rsidRPr="000A1787">
              <w:rPr>
                <w:lang w:val="en-GB"/>
              </w:rPr>
              <w:t>Artinya</w:t>
            </w:r>
            <w:proofErr w:type="spellEnd"/>
            <w:r w:rsidRPr="000A1787">
              <w:rPr>
                <w:lang w:val="en-GB"/>
              </w:rPr>
              <w:t>, “</w:t>
            </w:r>
            <w:proofErr w:type="spellStart"/>
            <w:r w:rsidRPr="000A1787">
              <w:rPr>
                <w:lang w:val="en-GB"/>
              </w:rPr>
              <w:t>Tidak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ada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pernikahan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tanpa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wali</w:t>
            </w:r>
            <w:proofErr w:type="spellEnd"/>
            <w:r w:rsidRPr="000A1787">
              <w:rPr>
                <w:lang w:val="en-GB"/>
              </w:rPr>
              <w:t xml:space="preserve">. </w:t>
            </w:r>
            <w:proofErr w:type="spellStart"/>
            <w:r w:rsidRPr="000A1787">
              <w:rPr>
                <w:lang w:val="en-GB"/>
              </w:rPr>
              <w:t>Perempuan</w:t>
            </w:r>
            <w:proofErr w:type="spellEnd"/>
            <w:r w:rsidRPr="000A1787">
              <w:rPr>
                <w:lang w:val="en-GB"/>
              </w:rPr>
              <w:t xml:space="preserve"> mana pun—</w:t>
            </w:r>
            <w:proofErr w:type="spellStart"/>
            <w:r w:rsidRPr="000A1787">
              <w:rPr>
                <w:lang w:val="en-GB"/>
              </w:rPr>
              <w:t>perawan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atau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janda</w:t>
            </w:r>
            <w:proofErr w:type="spellEnd"/>
            <w:r w:rsidRPr="000A1787">
              <w:rPr>
                <w:lang w:val="en-GB"/>
              </w:rPr>
              <w:t>—</w:t>
            </w:r>
            <w:proofErr w:type="spellStart"/>
            <w:r w:rsidRPr="000A1787">
              <w:rPr>
                <w:lang w:val="en-GB"/>
              </w:rPr>
              <w:t>yan</w:t>
            </w:r>
            <w:r w:rsidR="00861CA7">
              <w:rPr>
                <w:lang w:val="en-GB"/>
              </w:rPr>
              <w:t>s</w:t>
            </w:r>
            <w:bookmarkStart w:id="0" w:name="_GoBack"/>
            <w:bookmarkEnd w:id="0"/>
            <w:r w:rsidRPr="000A1787">
              <w:rPr>
                <w:lang w:val="en-GB"/>
              </w:rPr>
              <w:t>g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menikah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tanpa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wali</w:t>
            </w:r>
            <w:proofErr w:type="spellEnd"/>
            <w:r w:rsidRPr="000A1787">
              <w:rPr>
                <w:lang w:val="en-GB"/>
              </w:rPr>
              <w:t xml:space="preserve">, </w:t>
            </w:r>
            <w:proofErr w:type="spellStart"/>
            <w:r w:rsidRPr="000A1787">
              <w:rPr>
                <w:lang w:val="en-GB"/>
              </w:rPr>
              <w:t>maka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nikahnya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adalah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batal</w:t>
            </w:r>
            <w:proofErr w:type="spellEnd"/>
            <w:r w:rsidRPr="000A1787">
              <w:rPr>
                <w:lang w:val="en-GB"/>
              </w:rPr>
              <w:t xml:space="preserve">, </w:t>
            </w:r>
            <w:proofErr w:type="spellStart"/>
            <w:r w:rsidRPr="000A1787">
              <w:rPr>
                <w:lang w:val="en-GB"/>
              </w:rPr>
              <w:t>batal</w:t>
            </w:r>
            <w:proofErr w:type="spellEnd"/>
            <w:r w:rsidRPr="000A1787">
              <w:rPr>
                <w:lang w:val="en-GB"/>
              </w:rPr>
              <w:t xml:space="preserve">, </w:t>
            </w:r>
            <w:proofErr w:type="spellStart"/>
            <w:r w:rsidRPr="000A1787">
              <w:rPr>
                <w:lang w:val="en-GB"/>
              </w:rPr>
              <w:t>batal</w:t>
            </w:r>
            <w:proofErr w:type="spellEnd"/>
            <w:r w:rsidRPr="000A1787">
              <w:rPr>
                <w:lang w:val="en-GB"/>
              </w:rPr>
              <w:t xml:space="preserve"> (</w:t>
            </w:r>
            <w:proofErr w:type="spellStart"/>
            <w:r w:rsidRPr="000A1787">
              <w:rPr>
                <w:lang w:val="en-GB"/>
              </w:rPr>
              <w:t>tidak</w:t>
            </w:r>
            <w:proofErr w:type="spellEnd"/>
            <w:r w:rsidRPr="000A1787">
              <w:rPr>
                <w:lang w:val="en-GB"/>
              </w:rPr>
              <w:t xml:space="preserve"> </w:t>
            </w:r>
            <w:proofErr w:type="spellStart"/>
            <w:r w:rsidRPr="000A1787">
              <w:rPr>
                <w:lang w:val="en-GB"/>
              </w:rPr>
              <w:t>sah</w:t>
            </w:r>
            <w:proofErr w:type="spellEnd"/>
            <w:r w:rsidRPr="000A1787">
              <w:rPr>
                <w:lang w:val="en-GB"/>
              </w:rPr>
              <w:t>).” (HR. Ahmad).</w:t>
            </w:r>
          </w:p>
        </w:tc>
      </w:tr>
      <w:tr w:rsidR="006A215D">
        <w:tc>
          <w:tcPr>
            <w:tcW w:w="4320" w:type="dxa"/>
          </w:tcPr>
          <w:p w:rsidR="006A215D" w:rsidRDefault="00A71064" w:rsidP="00224293">
            <w:pPr>
              <w:pStyle w:val="NormalWeb"/>
            </w:pPr>
            <w:proofErr w:type="spellStart"/>
            <w:r>
              <w:t>M</w:t>
            </w:r>
            <w:r>
              <w:t>azhab</w:t>
            </w:r>
            <w:proofErr w:type="spellEnd"/>
            <w:r>
              <w:t xml:space="preserve"> Hanafi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, </w:t>
            </w:r>
            <w:proofErr w:type="spellStart"/>
            <w:r>
              <w:t>Qiyas</w:t>
            </w:r>
            <w:proofErr w:type="spellEnd"/>
            <w:r>
              <w:t xml:space="preserve"> (</w:t>
            </w:r>
            <w:proofErr w:type="spellStart"/>
            <w:r>
              <w:t>analogi</w:t>
            </w:r>
            <w:proofErr w:type="spellEnd"/>
            <w:r>
              <w:t xml:space="preserve">), </w:t>
            </w:r>
            <w:proofErr w:type="spellStart"/>
            <w:r>
              <w:t>Istihsan</w:t>
            </w:r>
            <w:proofErr w:type="spellEnd"/>
            <w:r>
              <w:t xml:space="preserve">,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rasional</w:t>
            </w:r>
            <w:proofErr w:type="spellEnd"/>
            <w:r>
              <w:t xml:space="preserve"> (</w:t>
            </w:r>
            <w:proofErr w:type="spellStart"/>
            <w:r>
              <w:t>ahlur</w:t>
            </w:r>
            <w:proofErr w:type="spellEnd"/>
            <w:r>
              <w:t xml:space="preserve"> </w:t>
            </w:r>
            <w:proofErr w:type="spellStart"/>
            <w:r>
              <w:t>ra’yi</w:t>
            </w:r>
            <w:proofErr w:type="spellEnd"/>
            <w:r>
              <w:t>)</w:t>
            </w:r>
            <w:r w:rsidR="00224293">
              <w:t>.</w:t>
            </w:r>
            <w:r w:rsidR="00224293">
              <w:rPr>
                <w:rStyle w:val="FootnoteReference"/>
              </w:rPr>
              <w:footnoteReference w:id="3"/>
            </w:r>
          </w:p>
        </w:tc>
        <w:tc>
          <w:tcPr>
            <w:tcW w:w="4320" w:type="dxa"/>
          </w:tcPr>
          <w:p w:rsidR="006A215D" w:rsidRPr="00A71064" w:rsidRDefault="00A71064" w:rsidP="00A710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Pendekatan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tekstual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terhadap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,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Ij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’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mayoritas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sahabat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ulama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,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Sadd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az-zari’ah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(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menutup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pintu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kerusakan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)</w:t>
            </w:r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  <w:r w:rsidR="00224293">
              <w:rPr>
                <w:rStyle w:val="FootnoteReference"/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footnoteReference w:id="4"/>
            </w:r>
          </w:p>
        </w:tc>
      </w:tr>
      <w:tr w:rsidR="006A215D">
        <w:tc>
          <w:tcPr>
            <w:tcW w:w="4320" w:type="dxa"/>
          </w:tcPr>
          <w:p w:rsidR="00A71064" w:rsidRDefault="00A71064" w:rsidP="00A71064">
            <w:pPr>
              <w:pStyle w:val="NormalWeb"/>
            </w:pP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perempuan</w:t>
            </w:r>
            <w:proofErr w:type="spellEnd"/>
            <w:r>
              <w:t xml:space="preserve"> </w:t>
            </w:r>
            <w:proofErr w:type="spellStart"/>
            <w:r>
              <w:t>dewasa</w:t>
            </w:r>
            <w:proofErr w:type="spellEnd"/>
            <w:r>
              <w:t xml:space="preserve">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kecakapan</w:t>
            </w:r>
            <w:proofErr w:type="spellEnd"/>
            <w:r>
              <w:t xml:space="preserve"> </w:t>
            </w:r>
            <w:proofErr w:type="spellStart"/>
            <w:r>
              <w:t>hukum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pernikahannya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menurut</w:t>
            </w:r>
            <w:proofErr w:type="spellEnd"/>
            <w:r>
              <w:t xml:space="preserve"> Hanafi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dalil</w:t>
            </w:r>
            <w:proofErr w:type="spellEnd"/>
            <w:r>
              <w:t xml:space="preserve"> Al-</w:t>
            </w:r>
            <w:r>
              <w:lastRenderedPageBreak/>
              <w:t xml:space="preserve">Qur’an yang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tegas</w:t>
            </w:r>
            <w:proofErr w:type="spellEnd"/>
            <w:r>
              <w:t xml:space="preserve"> </w:t>
            </w:r>
            <w:proofErr w:type="spellStart"/>
            <w:r>
              <w:t>menjadikan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</w:t>
            </w:r>
            <w:proofErr w:type="spellStart"/>
            <w:r>
              <w:t>sah</w:t>
            </w:r>
            <w:proofErr w:type="spellEnd"/>
            <w:r>
              <w:t xml:space="preserve"> </w:t>
            </w:r>
            <w:proofErr w:type="spellStart"/>
            <w:r>
              <w:t>nikah</w:t>
            </w:r>
            <w:proofErr w:type="spellEnd"/>
            <w:r>
              <w:t>.</w:t>
            </w:r>
            <w:r w:rsidR="00224293">
              <w:rPr>
                <w:rStyle w:val="FootnoteReference"/>
              </w:rPr>
              <w:footnoteReference w:id="5"/>
            </w:r>
          </w:p>
          <w:p w:rsidR="006A215D" w:rsidRPr="00A71064" w:rsidRDefault="006A215D" w:rsidP="00A71064">
            <w:pPr>
              <w:rPr>
                <w:lang w:val="en-GB"/>
              </w:rPr>
            </w:pPr>
          </w:p>
        </w:tc>
        <w:tc>
          <w:tcPr>
            <w:tcW w:w="4320" w:type="dxa"/>
          </w:tcPr>
          <w:p w:rsidR="006A215D" w:rsidRDefault="00A71064" w:rsidP="00A71064">
            <w:proofErr w:type="spellStart"/>
            <w:r>
              <w:lastRenderedPageBreak/>
              <w:t>Karena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hadis-hadis</w:t>
            </w:r>
            <w:proofErr w:type="spellEnd"/>
            <w:r>
              <w:t xml:space="preserve"> </w:t>
            </w:r>
            <w:proofErr w:type="spellStart"/>
            <w:r>
              <w:t>sahih</w:t>
            </w:r>
            <w:proofErr w:type="spellEnd"/>
            <w:r>
              <w:t xml:space="preserve"> yang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 xml:space="preserve"> </w:t>
            </w:r>
            <w:proofErr w:type="spellStart"/>
            <w:r>
              <w:t>menyebutkan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nikah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batal</w:t>
            </w:r>
            <w:proofErr w:type="spellEnd"/>
            <w:r>
              <w:t xml:space="preserve">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kehormatan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kemaslahatan</w:t>
            </w:r>
            <w:proofErr w:type="spellEnd"/>
            <w:r>
              <w:t xml:space="preserve"> </w:t>
            </w:r>
            <w:proofErr w:type="spellStart"/>
            <w:r>
              <w:t>perempuan</w:t>
            </w:r>
            <w:proofErr w:type="spellEnd"/>
            <w:r>
              <w:t>.</w:t>
            </w:r>
            <w:r w:rsidR="00224293">
              <w:rPr>
                <w:rStyle w:val="FootnoteReference"/>
              </w:rPr>
              <w:footnoteReference w:id="6"/>
            </w:r>
          </w:p>
        </w:tc>
      </w:tr>
      <w:tr w:rsidR="006A215D">
        <w:trPr>
          <w:trHeight w:val="906"/>
        </w:trPr>
        <w:tc>
          <w:tcPr>
            <w:tcW w:w="4320" w:type="dxa"/>
          </w:tcPr>
          <w:p w:rsidR="006A215D" w:rsidRPr="00A71064" w:rsidRDefault="00A71064" w:rsidP="00A710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lastRenderedPageBreak/>
              <w:t>Bertentangan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dengan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hadis-hadis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yang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seca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eksplisit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mensyaratkan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wali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</w:t>
            </w:r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ikhawatirkan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membuka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peluang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penyalahgunaan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pernikahan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sembunyi-sembunyi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  <w:r w:rsidR="00224293">
              <w:rPr>
                <w:rStyle w:val="FootnoteReference"/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footnoteReference w:id="7"/>
            </w:r>
          </w:p>
        </w:tc>
        <w:tc>
          <w:tcPr>
            <w:tcW w:w="4320" w:type="dxa"/>
          </w:tcPr>
          <w:p w:rsidR="00A71064" w:rsidRPr="00A71064" w:rsidRDefault="00A71064" w:rsidP="00A710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Terkadang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wali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dapat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menyalahgunakan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kekuasaan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menghalangi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perempuan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menikah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tanpa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alasan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syar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Kurang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memberi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ruang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kebebasan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perempuan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dewasa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</w:t>
            </w:r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alam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menentukan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pasangan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hidup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  <w:r w:rsidR="00224293">
              <w:rPr>
                <w:rStyle w:val="FootnoteReference"/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footnoteReference w:id="8"/>
            </w:r>
          </w:p>
          <w:p w:rsidR="006A215D" w:rsidRPr="00A71064" w:rsidRDefault="006A215D" w:rsidP="00A71064">
            <w:pPr>
              <w:rPr>
                <w:lang w:val="en-GB"/>
              </w:rPr>
            </w:pPr>
          </w:p>
        </w:tc>
      </w:tr>
      <w:tr w:rsidR="006A215D">
        <w:trPr>
          <w:trHeight w:val="776"/>
        </w:trPr>
        <w:tc>
          <w:tcPr>
            <w:tcW w:w="4320" w:type="dxa"/>
          </w:tcPr>
          <w:p w:rsidR="006A215D" w:rsidRPr="00A71064" w:rsidRDefault="00A71064" w:rsidP="00A710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Memberikan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hak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keman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</w:t>
            </w:r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irian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kepada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perempuan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dewasa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  <w:r w:rsidR="00224293">
              <w:rPr>
                <w:rStyle w:val="FootnoteReference"/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footnoteReference w:id="9"/>
            </w:r>
          </w:p>
        </w:tc>
        <w:tc>
          <w:tcPr>
            <w:tcW w:w="4320" w:type="dxa"/>
          </w:tcPr>
          <w:p w:rsidR="006A215D" w:rsidRPr="00A71064" w:rsidRDefault="00A71064" w:rsidP="00A710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</w:t>
            </w:r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idukung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hadis-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hadis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kuat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.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Menjaga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ketertiban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kehormatan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pernikahan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Menjadi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pendapat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mayoritas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ulama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Islam</w:t>
            </w:r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  <w:r w:rsidR="00224293">
              <w:rPr>
                <w:rStyle w:val="FootnoteReference"/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footnoteReference w:id="10"/>
            </w:r>
          </w:p>
        </w:tc>
      </w:tr>
      <w:tr w:rsidR="00A71064">
        <w:trPr>
          <w:trHeight w:val="275"/>
        </w:trPr>
        <w:tc>
          <w:tcPr>
            <w:tcW w:w="4320" w:type="dxa"/>
          </w:tcPr>
          <w:p w:rsidR="00A71064" w:rsidRPr="00A71064" w:rsidRDefault="00A71064" w:rsidP="00A710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Sama-sama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bertujuan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enjaga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kemaslahatan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pernikahan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Sama-sama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berdasar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Al-Qur’an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hadis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. </w:t>
            </w:r>
          </w:p>
          <w:p w:rsidR="00A71064" w:rsidRDefault="00A71064" w:rsidP="00A71064"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Sama-sama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mengakui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pentingnya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akad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nikah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yang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sah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menurut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syariat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  <w:r w:rsidR="00224293">
              <w:rPr>
                <w:rStyle w:val="FootnoteReference"/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footnoteReference w:id="11"/>
            </w:r>
          </w:p>
        </w:tc>
        <w:tc>
          <w:tcPr>
            <w:tcW w:w="4320" w:type="dxa"/>
          </w:tcPr>
          <w:p w:rsidR="00A71064" w:rsidRPr="00A71064" w:rsidRDefault="00A71064" w:rsidP="00A710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Sama-sama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bertujuan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enjaga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kemaslahatan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pernikahan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Sama-sama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berdasar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Al-Qur’an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dan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hadis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. </w:t>
            </w:r>
          </w:p>
          <w:p w:rsidR="00A71064" w:rsidRDefault="00A71064" w:rsidP="00A71064"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Sama-sama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mengakui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pentingnya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akad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nikah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yang </w:t>
            </w:r>
            <w:proofErr w:type="spellStart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sah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menurut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syariat</w:t>
            </w:r>
            <w:proofErr w:type="spellEnd"/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  <w:r w:rsidR="00224293">
              <w:rPr>
                <w:rStyle w:val="FootnoteReference"/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footnoteReference w:id="12"/>
            </w:r>
          </w:p>
        </w:tc>
      </w:tr>
      <w:tr w:rsidR="00A71064">
        <w:tc>
          <w:tcPr>
            <w:tcW w:w="4320" w:type="dxa"/>
          </w:tcPr>
          <w:p w:rsidR="00A71064" w:rsidRDefault="00A71064" w:rsidP="00A71064">
            <w:r>
              <w:t xml:space="preserve">Imam </w:t>
            </w:r>
            <w:proofErr w:type="spellStart"/>
            <w:r>
              <w:t>abu</w:t>
            </w:r>
            <w:proofErr w:type="spellEnd"/>
            <w:r>
              <w:t xml:space="preserve"> </w:t>
            </w:r>
            <w:proofErr w:type="spellStart"/>
            <w:r>
              <w:t>hanifah</w:t>
            </w:r>
            <w:proofErr w:type="spellEnd"/>
            <w:r>
              <w:t>,</w:t>
            </w:r>
            <w:r w:rsidR="00224293">
              <w:t xml:space="preserve"> </w:t>
            </w:r>
            <w:proofErr w:type="spellStart"/>
            <w:r w:rsidR="00224293">
              <w:t>sebagian</w:t>
            </w:r>
            <w:proofErr w:type="spellEnd"/>
            <w:r w:rsidR="00224293">
              <w:t xml:space="preserve"> </w:t>
            </w:r>
            <w:proofErr w:type="spellStart"/>
            <w:r w:rsidR="00224293">
              <w:t>ulama</w:t>
            </w:r>
            <w:proofErr w:type="spellEnd"/>
            <w:r w:rsidR="00224293">
              <w:t xml:space="preserve"> </w:t>
            </w:r>
            <w:proofErr w:type="spellStart"/>
            <w:r w:rsidR="00224293">
              <w:t>syiah</w:t>
            </w:r>
            <w:proofErr w:type="spellEnd"/>
            <w:r w:rsidR="00224293">
              <w:t xml:space="preserve">. </w:t>
            </w:r>
            <w:r w:rsidR="00224293">
              <w:rPr>
                <w:rStyle w:val="FootnoteReference"/>
              </w:rPr>
              <w:footnoteReference w:id="13"/>
            </w:r>
          </w:p>
        </w:tc>
        <w:tc>
          <w:tcPr>
            <w:tcW w:w="4320" w:type="dxa"/>
          </w:tcPr>
          <w:p w:rsidR="00A71064" w:rsidRPr="00A71064" w:rsidRDefault="00A71064" w:rsidP="00A710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Imam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Syafi’I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, Imam Malik, Imam Ahmad bin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Hanbal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,</w:t>
            </w:r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Mayoritas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ulama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fikih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(</w:t>
            </w:r>
            <w:proofErr w:type="spellStart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jumhur</w:t>
            </w:r>
            <w:proofErr w:type="spellEnd"/>
            <w:r w:rsidRPr="00A710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)</w:t>
            </w:r>
            <w:r w:rsidR="00224293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  <w:r w:rsidR="00224293">
              <w:rPr>
                <w:rStyle w:val="FootnoteReference"/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footnoteReference w:id="14"/>
            </w:r>
          </w:p>
          <w:p w:rsidR="00A71064" w:rsidRDefault="00A71064" w:rsidP="00A71064"/>
        </w:tc>
      </w:tr>
      <w:tr w:rsidR="00A71064">
        <w:tc>
          <w:tcPr>
            <w:tcW w:w="4320" w:type="dxa"/>
          </w:tcPr>
          <w:p w:rsidR="00A71064" w:rsidRDefault="00FB6DFE" w:rsidP="00A71064">
            <w:proofErr w:type="spellStart"/>
            <w:r>
              <w:t>Pendapat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: </w:t>
            </w:r>
            <w:proofErr w:type="spellStart"/>
            <w:r>
              <w:t>Menurut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, </w:t>
            </w:r>
            <w:proofErr w:type="spellStart"/>
            <w:r>
              <w:t>pendapat</w:t>
            </w:r>
            <w:proofErr w:type="spellEnd"/>
            <w:r>
              <w:t xml:space="preserve"> </w:t>
            </w:r>
            <w:proofErr w:type="spellStart"/>
            <w:r>
              <w:t>jumhur</w:t>
            </w:r>
            <w:proofErr w:type="spellEnd"/>
            <w:r>
              <w:t xml:space="preserve"> </w:t>
            </w:r>
            <w:proofErr w:type="spellStart"/>
            <w:r>
              <w:t>ulama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kuat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didukung</w:t>
            </w:r>
            <w:proofErr w:type="spellEnd"/>
            <w:r>
              <w:t xml:space="preserve"> </w:t>
            </w:r>
            <w:proofErr w:type="spellStart"/>
            <w:r>
              <w:t>hadis</w:t>
            </w:r>
            <w:proofErr w:type="spellEnd"/>
            <w:r>
              <w:t xml:space="preserve"> yang </w:t>
            </w:r>
            <w:proofErr w:type="spellStart"/>
            <w:r>
              <w:t>jelas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nikah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. </w:t>
            </w:r>
            <w:proofErr w:type="spellStart"/>
            <w:r>
              <w:t>Wali</w:t>
            </w:r>
            <w:proofErr w:type="spellEnd"/>
            <w:r>
              <w:t xml:space="preserve"> </w:t>
            </w:r>
            <w:proofErr w:type="spellStart"/>
            <w:r>
              <w:t>juga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kemaslahatan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keabsahan</w:t>
            </w:r>
            <w:proofErr w:type="spellEnd"/>
            <w:r>
              <w:t xml:space="preserve"> </w:t>
            </w:r>
            <w:proofErr w:type="spellStart"/>
            <w:r>
              <w:t>pernikahan</w:t>
            </w:r>
            <w:proofErr w:type="spellEnd"/>
            <w:r>
              <w:t xml:space="preserve">. </w:t>
            </w:r>
            <w:proofErr w:type="spellStart"/>
            <w:r>
              <w:t>Namun</w:t>
            </w:r>
            <w:proofErr w:type="spellEnd"/>
            <w:r>
              <w:t xml:space="preserve">, </w:t>
            </w:r>
            <w:proofErr w:type="spellStart"/>
            <w:r>
              <w:t>pendapat</w:t>
            </w:r>
            <w:proofErr w:type="spellEnd"/>
            <w:r>
              <w:t xml:space="preserve"> </w:t>
            </w:r>
            <w:proofErr w:type="spellStart"/>
            <w:r>
              <w:t>mazhab</w:t>
            </w:r>
            <w:proofErr w:type="spellEnd"/>
            <w:r>
              <w:t xml:space="preserve"> Hanafi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dipertimbangkan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 </w:t>
            </w:r>
            <w:proofErr w:type="spellStart"/>
            <w:r>
              <w:t>menghalangi</w:t>
            </w:r>
            <w:proofErr w:type="spellEnd"/>
            <w:r>
              <w:t xml:space="preserve"> </w:t>
            </w:r>
            <w:proofErr w:type="spellStart"/>
            <w:r>
              <w:t>pernikahan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syar’i</w:t>
            </w:r>
            <w:proofErr w:type="spellEnd"/>
            <w:r>
              <w:t xml:space="preserve">.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menurut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akad</w:t>
            </w:r>
            <w:proofErr w:type="spellEnd"/>
            <w:r>
              <w:t xml:space="preserve"> </w:t>
            </w:r>
            <w:proofErr w:type="spellStart"/>
            <w:r>
              <w:t>nikah</w:t>
            </w:r>
            <w:proofErr w:type="spellEnd"/>
            <w:r>
              <w:t xml:space="preserve"> </w:t>
            </w:r>
            <w:proofErr w:type="spellStart"/>
            <w:r>
              <w:t>sebaiknya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,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 </w:t>
            </w:r>
            <w:proofErr w:type="spellStart"/>
            <w:r>
              <w:t>nasab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 hakim.</w:t>
            </w:r>
          </w:p>
        </w:tc>
        <w:tc>
          <w:tcPr>
            <w:tcW w:w="4320" w:type="dxa"/>
          </w:tcPr>
          <w:p w:rsidR="00A71064" w:rsidRDefault="00A71064" w:rsidP="00A71064"/>
        </w:tc>
      </w:tr>
    </w:tbl>
    <w:p w:rsidR="006A215D" w:rsidRDefault="006A215D"/>
    <w:p w:rsidR="006A215D" w:rsidRDefault="00224293">
      <w:proofErr w:type="spellStart"/>
      <w:r>
        <w:t>Daftar</w:t>
      </w:r>
      <w:proofErr w:type="spellEnd"/>
      <w:r>
        <w:t xml:space="preserve"> </w:t>
      </w:r>
      <w:proofErr w:type="spellStart"/>
      <w:r>
        <w:t>pustaka</w:t>
      </w:r>
      <w:proofErr w:type="spellEnd"/>
    </w:p>
    <w:p w:rsidR="00224293" w:rsidRPr="00224293" w:rsidRDefault="00224293" w:rsidP="00224293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Times New Roman"/>
          <w:noProof/>
          <w:szCs w:val="24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224293">
        <w:rPr>
          <w:rFonts w:cs="Times New Roman"/>
          <w:noProof/>
          <w:szCs w:val="24"/>
        </w:rPr>
        <w:t>Daud, Fathonah K.Ramdani Wahyu Sururuie. “Otoritas Wali Nikah Dalam Islam: Analisis Perkawinan Tanpa Wali Di Indonesia Perspektif Fiqh Dan Hukum Positif” 15, no. 2 (2021): 148–69.</w:t>
      </w:r>
    </w:p>
    <w:p w:rsidR="00224293" w:rsidRPr="00224293" w:rsidRDefault="00224293" w:rsidP="00224293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Times New Roman"/>
          <w:noProof/>
          <w:szCs w:val="24"/>
        </w:rPr>
      </w:pPr>
      <w:r w:rsidRPr="00224293">
        <w:rPr>
          <w:rFonts w:cs="Times New Roman"/>
          <w:noProof/>
          <w:szCs w:val="24"/>
        </w:rPr>
        <w:t>Insya, Gabungan, and I D A N Intiqa. “St. Maryam” 1, no. 1 (2025): 30–42.</w:t>
      </w:r>
    </w:p>
    <w:p w:rsidR="00224293" w:rsidRPr="00224293" w:rsidRDefault="00224293" w:rsidP="00224293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Times New Roman"/>
          <w:noProof/>
          <w:szCs w:val="24"/>
        </w:rPr>
      </w:pPr>
      <w:r w:rsidRPr="00224293">
        <w:rPr>
          <w:rFonts w:cs="Times New Roman"/>
          <w:noProof/>
          <w:szCs w:val="24"/>
        </w:rPr>
        <w:t>Islam, Universitas, Negeri Maulana, and Malik Ibrahim. “KONFLIK PEMIKIRAN METODE ISTINBATH HUKUM MADZHAB HANAFIYYAH DAN SYAFI ’ IYYAH DALAM Mufti Rahmani ****” 8, no. 1 (2022): 195–213. https://doi.org/10.22373/al-ijtimaiyyah.v8i1.13397.</w:t>
      </w:r>
    </w:p>
    <w:p w:rsidR="00224293" w:rsidRPr="00224293" w:rsidRDefault="00224293" w:rsidP="00224293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noProof/>
        </w:rPr>
      </w:pPr>
      <w:r w:rsidRPr="00224293">
        <w:rPr>
          <w:rFonts w:cs="Times New Roman"/>
          <w:noProof/>
          <w:szCs w:val="24"/>
        </w:rPr>
        <w:t>Rusdi, M Ali. “Hukum Pernikahan Tanpa Wali Perbandingan Pemikiran Hukum Fiqhi Imam Abu Hanifah Dan Kompilasi Hukum Islam The Law of Marriage Without a Guardian Is a Comparison of the Legal Thinking of Fiqhi Imam Abu Hanifah and the Compilation of Islamic Law” 19, no. 2 (2024): 141–49. https://doi.org/10.56338/iqra.v19i2.4632.</w:t>
      </w:r>
    </w:p>
    <w:p w:rsidR="00224293" w:rsidRDefault="00224293" w:rsidP="00224293">
      <w:r>
        <w:fldChar w:fldCharType="end"/>
      </w:r>
    </w:p>
    <w:sectPr w:rsidR="002242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425B" w:rsidRDefault="0066425B" w:rsidP="00224293">
      <w:pPr>
        <w:spacing w:after="0" w:line="240" w:lineRule="auto"/>
      </w:pPr>
      <w:r>
        <w:separator/>
      </w:r>
    </w:p>
  </w:endnote>
  <w:endnote w:type="continuationSeparator" w:id="0">
    <w:p w:rsidR="0066425B" w:rsidRDefault="0066425B" w:rsidP="00224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425B" w:rsidRDefault="0066425B" w:rsidP="00224293">
      <w:pPr>
        <w:spacing w:after="0" w:line="240" w:lineRule="auto"/>
      </w:pPr>
      <w:r>
        <w:separator/>
      </w:r>
    </w:p>
  </w:footnote>
  <w:footnote w:type="continuationSeparator" w:id="0">
    <w:p w:rsidR="0066425B" w:rsidRDefault="0066425B" w:rsidP="00224293">
      <w:pPr>
        <w:spacing w:after="0" w:line="240" w:lineRule="auto"/>
      </w:pPr>
      <w:r>
        <w:continuationSeparator/>
      </w:r>
    </w:p>
  </w:footnote>
  <w:footnote w:id="1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{"citationItems":[{"id":"ITEM-1","itemData":{"DOI":"10.56338/iqra.v19i2.4632","author":[{"dropping-particle":"","family":"Rusdi","given":"M Ali","non-dropping-particle":"","parse-names":false,"suffix":""}],"id":"ITEM-1","issue":"2","issued":{"date-parts":[["2024"]]},"page":"141-149","title":"Hukum Pernikahan Tanpa Wali Perbandingan Pemikiran Hukum Fiqhi Imam Abu Hanifah dan Kompilasi Hukum Islam The Law of Marriage Without a Guardian is a Comparison of the Legal Thinking of Fiqhi Imam Abu Hanifah and the Compilation of Islamic Law","type":"article-journal","volume":"19"},"uris":["http://www.mendeley.com/documents/?uuid=3bdcdf6e-836e-488d-9152-9c7ce4dd4c4e"]}],"mendeley":{"formattedCitation":"M Ali Rusdi, “Hukum Pernikahan Tanpa Wali Perbandingan Pemikiran Hukum Fiqhi Imam Abu Hanifah Dan Kompilasi Hukum Islam The Law of Marriage Without a Guardian Is a Comparison of the Legal Thinking of Fiqhi Imam Abu Hanifah and the Compilation of Islamic Law” 19, no. 2 (2024): 141–49, https://doi.org/10.56338/iqra.v19i2.4632.","plainTextFormattedCitation":"M Ali Rusdi, “Hukum Pernikahan Tanpa Wali Perbandingan Pemikiran Hukum Fiqhi Imam Abu Hanifah Dan Kompilasi Hukum Islam The Law of Marriage Without a Guardian Is a Comparison of the Legal Thinking of Fiqhi Imam Abu Hanifah and the Compilation of Islamic Law” 19, no. 2 (2024): 141–49, https://doi.org/10.56338/iqra.v19i2.4632.","previouslyFormattedCitation":"M Ali Rusdi, “Hukum Pernikahan Tanpa Wali Perbandingan Pemikiran Hukum Fiqhi Imam Abu Hanifah Dan Kompilasi Hukum Islam The Law of Marriage Without a Guardian Is a Comparison of the Legal Thinking of Fiqhi Imam Abu Hanifah and the Compilation of Islamic Law” 19, no. 2 (2024): 141–49, https://doi.org/10.56338/iqra.v19i2.4632."},"properties":{"noteIndex":1},"schema":"https://github.com/citation-style-language/schema/raw/master/csl-citation.json"}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M Ali Rusdi, “Hukum Pernikahan Tanpa Wali Perbandingan Pemikiran Hukum Fiqhi Imam Abu Hanifah Dan Kompilasi Hukum Islam The Law of Marriage Without a Guardian Is a Comparison of the Legal Thinking of Fiqhi Imam Abu Hanifah and the Compilation of Islamic Law” 19, no. 2 (2024): 141–49, https://doi.org/10.56338/iqra.v19i2.4632.</w:t>
      </w:r>
      <w:r>
        <w:fldChar w:fldCharType="end"/>
      </w:r>
    </w:p>
  </w:footnote>
  <w:footnote w:id="2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{"citationItems":[{"id":"ITEM-1","itemData":{"author":[{"dropping-particle":"","family":"Daud","given":"Fathonah K.Ramdani Wahyu Sururuie","non-dropping-particle":"","parse-names":false,"suffix":""}],"id":"ITEM-1","issue":"2","issued":{"date-parts":[["2021"]]},"page":"148-169","title":"Otoritas Wali Nikah Dalam Islam: Analisis Perkawinan Tanpa Wali di Indonesia Perspektif Fiqh dan Hukum positif","type":"article-journal","volume":"15"},"uris":["http://www.mendeley.com/documents/?uuid=65ee3aae-6346-48b5-b278-bdf43f2c6117"]}],"mendeley":{"formattedCitation":"Fathonah K.Ramdani Wahyu Sururuie Daud, “Otoritas Wali Nikah Dalam Islam: Analisis Perkawinan Tanpa Wali Di Indonesia Perspektif Fiqh Dan Hukum Positif” 15, no. 2 (2021): 148–69.","plainTextFormattedCitation":"Fathonah K.Ramdani Wahyu Sururuie Daud, “Otoritas Wali Nikah Dalam Islam: Analisis Perkawinan Tanpa Wali Di Indonesia Perspektif Fiqh Dan Hukum Positif” 15, no. 2 (2021): 148–69.","previouslyFormattedCitation":"Fathonah K.Ramdani Wahyu Sururuie Daud, “Otoritas Wali Nikah Dalam Islam: Analisis Perkawinan Tanpa Wali Di Indonesia Perspektif Fiqh Dan Hukum Positif” 15, no. 2 (2021): 148–69."},"properties":{"noteIndex":2},"schema":"https://github.com/citation-style-language/schema/raw/master/csl-citation.json"}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Fathonah K.Ramdani Wahyu Sururuie Daud, “Otoritas Wali Nikah Dalam Islam: Analisis Perkawinan Tanpa Wali Di Indonesia Perspektif Fiqh Dan Hukum Positif” 15, no. 2 (2021): 148–69.</w:t>
      </w:r>
      <w:r>
        <w:fldChar w:fldCharType="end"/>
      </w:r>
    </w:p>
  </w:footnote>
  <w:footnote w:id="3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DOI":"10.22373/al-ijtimaiyyah.v8i1.13397","author":[{"dropping-particle":"","family":"Islam","given":"Universitas","non-dropping-particle":"","parse-names":false,"suffix":""},{"dropping-particle":"","family":"Maulana","given":"Negeri","non-dropping-particle":"","parse-names":false,"suffix":""},{"dropping-particle":"","family":"Ibrahim","given":"Malik","non-dropping-particle":"","parse-names":false,"suffix":""}],"id":"ITEM-1","issue":"1","issued":{"date-parts":[["2022"]]},"page":"195-213","title":"KONFLIK PEMIKIRAN METODE ISTINBATH HUKUM MADZHAB HANAFIYYAH DAN SYAFI ’ IYYAH DALAM Mufti Rahmani ****","type":"article-journal","volume":"8"},"uris":["http://www.mendeley.com/documents/?uuid=483485d5-63b7-4085-8dcb-6abcc0916629"]}],"mendeley":{"formattedCitation":"Universitas Islam, Negeri Maulana, and Malik Ibrahim, “KONFLIK PEMIKIRAN METODE ISTINBATH HUKUM MADZHAB HANAFIYYAH DAN SYAFI ’ IYYAH DALAM Mufti Rahmani ****” 8, no. 1 (2022): 195–213, https://doi.org/10.22373/al-ijtimaiyyah.v8i1.13397.","plainTextFormattedCitation":"Universitas Islam, Negeri Maulana, and Malik Ibrahim, “KONFLIK PEMIKIRAN METODE ISTINBATH HUKUM MADZHAB HANAFIYYAH DAN SYAFI ’ IYYAH DALAM Mufti Rahmani ****” 8, no. 1 (2022): 195–213, https://doi.org/10.22373/al-ijtimaiyyah.v8i1.13397.","previouslyFormattedCitation":"Universitas Islam, Negeri Maulana, and Malik Ibrahim, “KONFLIK PEMIKIRAN METODE ISTINBATH HUKUM MADZHAB HANAFIYYAH DAN SYAFI ’ IYYAH DALAM Mufti Rahmani ****” 8, no. 1 (2022): 195–213, https://doi.org/10.22373/al-ijtimaiyyah.v8i1.13397."},"properties":{"noteIndex":3},"schema":"https://github.com/citation-style-language/schema/raw/master/csl-citation.json"}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Universitas Islam, Negeri Maulana, and Malik Ibrahim, “KONFLIK PEMIKIRAN METODE ISTINBATH HUKUM MADZHAB HANAFIYYAH DAN SYAFI ’ IYYAH DALAM Mufti Rahmani ****” 8, no. 1 (2022): 195–213, https://doi.org/10.22373/al-ijtimaiyyah.v8i1.13397.</w:t>
      </w:r>
      <w:r>
        <w:fldChar w:fldCharType="end"/>
      </w:r>
    </w:p>
  </w:footnote>
  <w:footnote w:id="4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DOI":"10.22373/al-ijtimaiyyah.v8i1.13397","author":[{"dropping-particle":"","family":"Islam","given":"Universitas","non-dropping-particle":"","parse-names":false,"suffix":""},{"dropping-particle":"","family":"Maulana","given":"Negeri","non-dropping-particle":"","parse-names":false,"suffix":""},{"dropping-particle":"","family":"Ibrahim","given":"Malik","non-dropping-particle":"","parse-names":false,"suffix":""}],"id":"ITEM-1","issue":"1","issued":{"date-parts":[["2022"]]},"page":"195-213","title":"KONFLIK PEMIKIRAN METODE ISTINBATH HUKUM MADZHAB HANAFIYYAH DAN SYAFI ’ IYYAH DALAM Mufti Rahmani ****","type":"article-journal","volume":"8"},"uris":["http://www.mendeley.com/documents/?uuid=483485d5-63b7-4085-8dcb-6abcc0916629"]}],"mendeley":{"formattedCitation":"Islam, Maulana, and Ibrahim.","plainTextFormattedCitation":"Islam, Maulana, and Ibrahim.","previouslyFormattedCitation":"Islam, Maulana, and Ibrahim."},"properties":{"noteIndex":4},"schema":"https://github.com/citation-style-language/schema/raw/master/csl-citation.json"}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Islam, Maulana, and Ibrahim.</w:t>
      </w:r>
      <w:r>
        <w:fldChar w:fldCharType="end"/>
      </w:r>
    </w:p>
  </w:footnote>
  <w:footnote w:id="5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DOI":"10.22373/al-ijtimaiyyah.v8i1.13397","author":[{"dropping-particle":"","family":"Islam","given":"Universitas","non-dropping-particle":"","parse-names":false,"suffix":""},{"dropping-particle":"","family":"Maulana","given":"Negeri","non-dropping-particle":"","parse-names":false,"suffix":""},{"dropping-particle":"","family":"Ibrahim","given":"Malik","non-dropping-particle":"","parse-names":false,"suffix":""}],"id":"ITEM-1","issue":"1","issued":{"date-parts":[["2022"]]},"page":"195-213","title":"KONFLIK PEMIKIRAN METODE ISTINBATH HUKUM MADZHAB HANAFIYYAH DAN SYAFI ’ IYYAH DALAM Mufti Rahmani ****","type":"article-journal","volume":"8"},"uris":["http://www.mendeley.com/documents/?uuid=483485d5-63b7-4085-8dcb-6abcc0916629"]}],"mendeley":{"formattedCitation":"Islam, Maulana, and Ibrahim.","plainTextFormattedCitation":"Islam, Maulana, and Ibrahim.","previouslyFormattedCitation":"Islam, Maulana, and Ibrahim."},"properties":{"noteIndex":5},"schema":"https://github.com/citation-style-language/schema/raw/master/csl-citation.json"}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Islam, Maulana, and Ibrahim.</w:t>
      </w:r>
      <w:r>
        <w:fldChar w:fldCharType="end"/>
      </w:r>
    </w:p>
  </w:footnote>
  <w:footnote w:id="6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{"citationItems":[{"id":"ITEM-1","itemData":{"author":[{"dropping-particle":"","family":"Daud","given":"Fathonah K.Ramdani Wahyu Sururuie","non-dropping-particle":"","parse-names":false,"suffix":""}],"id":"ITEM-1","issue":"2","issued":{"date-parts":[["2021"]]},"page":"148-169","title":"Otoritas Wali Nikah Dalam Islam: Analisis Perkawinan Tanpa Wali di Indonesia Perspektif Fiqh dan Hukum positif","type":"article-journal","volume":"15"},"uris":["http://www.mendeley.com/documents/?uuid=65ee3aae-6346-48b5-b278-bdf43f2c6117"]}],"mendeley":{"formattedCitation":"Daud, “Otoritas Wali Nikah Dalam Islam: Analisis Perkawinan Tanpa Wali Di Indonesia Perspektif Fiqh Dan Hukum Positif.”","plainTextFormattedCitation":"Daud, “Otoritas Wali Nikah Dalam Islam: Analisis Perkawinan Tanpa Wali Di Indonesia Perspektif Fiqh Dan Hukum Positif.”","previouslyFormattedCitation":"Daud, “Otoritas Wali Nikah Dalam Islam: Analisis Perkawinan Tanpa Wali Di Indonesia Perspektif Fiqh Dan Hukum Positif.”"},"properties":{"noteIndex":6},"schema":"https://github.com/citation-style-language/schema/raw/master/csl-citation.json"}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Daud, “Otoritas Wali Nikah Dalam Islam: Analisis Perkawinan Tanpa Wali Di Indonesia Perspektif Fiqh Dan Hukum Positif.”</w:t>
      </w:r>
      <w:r>
        <w:fldChar w:fldCharType="end"/>
      </w:r>
    </w:p>
  </w:footnote>
  <w:footnote w:id="7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DOI":"10.22373/al-ijtimaiyyah.v8i1.13397","author":[{"dropping-particle":"","family":"Islam","given":"Universitas","non-dropping-particle":"","parse-names":false,"suffix":""},{"dropping-particle":"","family":"Maulana","given":"Negeri","non-dropping-particle":"","parse-names":false,"suffix":""},{"dropping-particle":"","family":"Ibrahim","given":"Malik","non-dropping-particle":"","parse-names":false,"suffix":""}],"id":"ITEM-1","issue":"1","issued":{"date-parts":[["2022"]]},"page":"195-213","title":"KONFLIK PEMIKIRAN METODE ISTINBATH HUKUM MADZHAB HANAFIYYAH DAN SYAFI ’ IYYAH DALAM Mufti Rahmani ****","type":"article-journal","volume":"8"},"uris":["http://www.mendeley.com/documents/?uuid=483485d5-63b7-4085-8dcb-6abcc0916629"]}],"mendeley":{"formattedCitation":"Islam, Maulana, and Ibrahim, “KONFLIK PEMIKIRAN METODE ISTINBATH HUKUM MADZHAB HANAFIYYAH DAN SYAFI ’ IYYAH DALAM Mufti Rahmani ****.”","plainTextFormattedCitation":"Islam, Maulana, and Ibrahim, “KONFLIK PEMIKIRAN METODE ISTINBATH HUKUM MADZHAB HANAFIYYAH DAN SYAFI ’ IYYAH DALAM Mufti Rahmani ****.”","previouslyFormattedCitation":"Islam, Maulana, and Ibrahim, “KONFLIK PEMIKIRAN METODE ISTINBATH HUKUM MADZHAB HANAFIYYAH DAN SYAFI ’ IYYAH DALAM Mufti Rahmani ****.”"},"properties":{"noteIndex":7},"schema":"https://github.com/citation-style-language/schema/raw/master/csl-citation.json"}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Islam, Maulana, and Ibrahim, “KONFLIK PEMIKIRAN METODE ISTINBATH HUKUM MADZHAB HANAFIYYAH DAN SYAFI ’ IYYAH DALAM Mufti Rahmani ****.”</w:t>
      </w:r>
      <w:r>
        <w:fldChar w:fldCharType="end"/>
      </w:r>
    </w:p>
  </w:footnote>
  <w:footnote w:id="8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{"citationItems":[{"id":"ITEM-1","itemData":{"author":[{"dropping-particle":"","family":"Insya","given":"Gabungan","non-dropping-particle":"","parse-names":false,"suffix":""},{"dropping-particle":"","family":"Intiqa","given":"I D A N","non-dropping-particle":"","parse-names":false,"suffix":""}],"id":"ITEM-1","issue":"1","issued":{"date-parts":[["2025"]]},"page":"30-42","title":"St. Maryam","type":"article-journal","volume":"1"},"uris":["http://www.mendeley.com/documents/?uuid=ec0729ec-ec93-4622-b0b4-f423e1e27d00"]}],"mendeley":{"formattedCitation":"Gabungan Insya and I D A N Intiqa, “St. Maryam” 1, no. 1 (2025): 30–42.","plainTextFormattedCitation":"Gabungan Insya and I D A N Intiqa, “St. Maryam” 1, no. 1 (2025): 30–42.","previouslyFormattedCitation":"Gabungan Insya and I D A N Intiqa, “St. Maryam” 1, no. 1 (2025): 30–42."},"properties":{"noteIndex":8},"schema":"https://github.com/citation-style-language/schema/raw/master/csl-citation.json"}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Gabungan Insya and I D A N Intiqa, “St. Maryam” 1, no. 1 (2025): 30–42.</w:t>
      </w:r>
      <w:r>
        <w:fldChar w:fldCharType="end"/>
      </w:r>
    </w:p>
  </w:footnote>
  <w:footnote w:id="9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DOI":"10.22373/al-ijtimaiyyah.v8i1.13397","author":[{"dropping-particle":"","family":"Islam","given":"Universitas","non-dropping-particle":"","parse-names":false,"suffix":""},{"dropping-particle":"","family":"Maulana","given":"Negeri","non-dropping-particle":"","parse-names":false,"suffix":""},{"dropping-particle":"","family":"Ibrahim","given":"Malik","non-dropping-particle":"","parse-names":false,"suffix":""}],"id":"ITEM-1","issue":"1","issued":{"date-parts":[["2022"]]},"page":"195-213","title":"KONFLIK PEMIKIRAN METODE ISTINBATH HUKUM MADZHAB HANAFIYYAH DAN SYAFI ’ IYYAH DALAM Mufti Rahmani ****","type":"article-journal","volume":"8"},"uris":["http://www.mendeley.com/documents/?uuid=483485d5-63b7-4085-8dcb-6abcc0916629"]}],"mendeley":{"formattedCitation":"Islam, Maulana, and Ibrahim, “KONFLIK PEMIKIRAN METODE ISTINBATH HUKUM MADZHAB HANAFIYYAH DAN SYAFI ’ IYYAH DALAM Mufti Rahmani ****.”","plainTextFormattedCitation":"Islam, Maulana, and Ibrahim, “KONFLIK PEMIKIRAN METODE ISTINBATH HUKUM MADZHAB HANAFIYYAH DAN SYAFI ’ IYYAH DALAM Mufti Rahmani ****.”","previouslyFormattedCitation":"Islam, Maulana, and Ibrahim, “KONFLIK PEMIKIRAN METODE ISTINBATH HUKUM MADZHAB HANAFIYYAH DAN SYAFI ’ IYYAH DALAM Mufti Rahmani ****.”"},"properties":{"noteIndex":9},"schema":"https://github.com/citation-style-language/schema/raw/master/csl-citation.json"}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Islam, Maulana, and Ibrahim, “KONFLIK PEMIKIRAN METODE ISTINBATH HUKUM MADZHAB HANAFIYYAH DAN SYAFI ’ IYYAH DALAM Mufti Rahmani ****.”</w:t>
      </w:r>
      <w:r>
        <w:fldChar w:fldCharType="end"/>
      </w:r>
    </w:p>
  </w:footnote>
  <w:footnote w:id="10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{"citationItems":[{"id":"ITEM-1","itemData":{"author":[{"dropping-particle":"","family":"Daud","given":"Fathonah K.Ramdani Wahyu Sururuie","non-dropping-particle":"","parse-names":false,"suffix":""}],"id":"ITEM-1","issue":"2","issued":{"date-parts":[["2021"]]},"page":"148-169","title":"Otoritas Wali Nikah Dalam Islam: Analisis Perkawinan Tanpa Wali di Indonesia Perspektif Fiqh dan Hukum positif","type":"article-journal","volume":"15"},"uris":["http://www.mendeley.com/documents/?uuid=65ee3aae-6346-48b5-b278-bdf43f2c6117"]}],"mendeley":{"formattedCitation":"Daud, “Otoritas Wali Nikah Dalam Islam: Analisis Perkawinan Tanpa Wali Di Indonesia Perspektif Fiqh Dan Hukum Positif.”","plainTextFormattedCitation":"Daud, “Otoritas Wali Nikah Dalam Islam: Analisis Perkawinan Tanpa Wali Di Indonesia Perspektif Fiqh Dan Hukum Positif.”","previouslyFormattedCitation":"Daud, “Otoritas Wali Nikah Dalam Islam: Analisis Perkawinan Tanpa Wali Di Indonesia Perspektif Fiqh Dan Hukum Positif.”"},"properties":{"noteIndex":10},"schema":"https://github.com/citation-style-language/schema/raw/master/csl-citation.json"}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Daud, “Otoritas Wali Nikah Dalam Islam: Analisis Perkawinan Tanpa Wali Di Indonesia Perspektif Fiqh Dan Hukum Positif.”</w:t>
      </w:r>
      <w:r>
        <w:fldChar w:fldCharType="end"/>
      </w:r>
    </w:p>
  </w:footnote>
  <w:footnote w:id="11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DOI":"10.22373/al-ijtimaiyyah.v8i1.13397","author":[{"dropping-particle":"","family":"Islam","given":"Universitas","non-dropping-particle":"","parse-names":false,"suffix":""},{"dropping-particle":"","family":"Maulana","given":"Negeri","non-dropping-particle":"","parse-names":false,"suffix":""},{"dropping-particle":"","family":"Ibrahim","given":"Malik","non-dropping-particle":"","parse-names":false,"suffix":""}],"id":"ITEM-1","issue":"1","issued":{"date-parts":[["2022"]]},"page":"195-213","title":"KONFLIK PEMIKIRAN METODE ISTINBATH HUKUM MADZHAB HANAFIYYAH DAN SYAFI ’ IYYAH DALAM Mufti Rahmani ****","type":"article-journal","volume":"8"},"uris":["http://www.mendeley.com/documents/?uuid=483485d5-63b7-4085-8dcb-6abcc0916629"]}],"mendeley":{"formattedCitation":"Islam, Maulana, and Ibrahim, “KONFLIK PEMIKIRAN METODE ISTINBATH HUKUM MADZHAB HANAFIYYAH DAN SYAFI ’ IYYAH DALAM Mufti Rahmani ****.”","plainTextFormattedCitation":"Islam, Maulana, and Ibrahim, “KONFLIK PEMIKIRAN METODE ISTINBATH HUKUM MADZHAB HANAFIYYAH DAN SYAFI ’ IYYAH DALAM Mufti Rahmani ****.”","previouslyFormattedCitation":"Islam, Maulana, and Ibrahim, “KONFLIK PEMIKIRAN METODE ISTINBATH HUKUM MADZHAB HANAFIYYAH DAN SYAFI ’ IYYAH DALAM Mufti Rahmani ****.”"},"properties":{"noteIndex":11},"schema":"https://github.com/citation-style-language/schema/raw/master/csl-citation.json"}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Islam, Maulana, and Ibrahim, “KONFLIK PEMIKIRAN METODE ISTINBATH HUKUM MADZHAB HANAFIYYAH DAN SYAFI ’ IYYAH DALAM Mufti Rahmani ****.”</w:t>
      </w:r>
      <w:r>
        <w:fldChar w:fldCharType="end"/>
      </w:r>
    </w:p>
  </w:footnote>
  <w:footnote w:id="12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DOI":"10.22373/al-ijtimaiyyah.v8i1.13397","author":[{"dropping-particle":"","family":"Islam","given":"Universitas","non-dropping-particle":"","parse-names":false,"suffix":""},{"dropping-particle":"","family":"Maulana","given":"Negeri","non-dropping-particle":"","parse-names":false,"suffix":""},{"dropping-particle":"","family":"Ibrahim","given":"Malik","non-dropping-particle":"","parse-names":false,"suffix":""}],"id":"ITEM-1","issue":"1","issued":{"date-parts":[["2022"]]},"page":"195-213","title":"KONFLIK PEMIKIRAN METODE ISTINBATH HUKUM MADZHAB HANAFIYYAH DAN SYAFI ’ IYYAH DALAM Mufti Rahmani ****","type":"article-journal","volume":"8"},"uris":["http://www.mendeley.com/documents/?uuid=483485d5-63b7-4085-8dcb-6abcc0916629"]}],"mendeley":{"formattedCitation":"Islam, Maulana, and Ibrahim.","plainTextFormattedCitation":"Islam, Maulana, and Ibrahim.","previouslyFormattedCitation":"Islam, Maulana, and Ibrahim."},"properties":{"noteIndex":12},"schema":"https://github.com/citation-style-language/schema/raw/master/csl-citation.json"}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Islam, Maulana, and Ibrahim.</w:t>
      </w:r>
      <w:r>
        <w:fldChar w:fldCharType="end"/>
      </w:r>
    </w:p>
  </w:footnote>
  <w:footnote w:id="13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{"citationItems":[{"id":"ITEM-1","itemData":{"author":[{"dropping-particle":"","family":"Daud","given":"Fathonah K.Ramdani Wahyu Sururuie","non-dropping-particle":"","parse-names":false,"suffix":""}],"id":"ITEM-1","issue":"2","issued":{"date-parts":[["2021"]]},"page":"148-169","title":"Otoritas Wali Nikah Dalam Islam: Analisis Perkawinan Tanpa Wali di Indonesia Perspektif Fiqh dan Hukum positif","type":"article-journal","volume":"15"},"uris":["http://www.mendeley.com/documents/?uuid=65ee3aae-6346-48b5-b278-bdf43f2c6117"]}],"mendeley":{"formattedCitation":"Daud, “Otoritas Wali Nikah Dalam Islam: Analisis Perkawinan Tanpa Wali Di Indonesia Perspektif Fiqh Dan Hukum Positif.”","plainTextFormattedCitation":"Daud, “Otoritas Wali Nikah Dalam Islam: Analisis Perkawinan Tanpa Wali Di Indonesia Perspektif Fiqh Dan Hukum Positif.”","previouslyFormattedCitation":"Daud, “Otoritas Wali Nikah Dalam Islam: Analisis Perkawinan Tanpa Wali Di Indonesia Perspektif Fiqh Dan Hukum Positif.”"},"properties":{"noteIndex":13},"schema":"https://github.com/citation-style-language/schema/raw/master/csl-citation.json"}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Daud, “Otoritas Wali Nikah Dalam Islam: Analisis Perkawinan Tanpa Wali Di Indonesia Perspektif Fiqh Dan Hukum Positif.”</w:t>
      </w:r>
      <w:r>
        <w:fldChar w:fldCharType="end"/>
      </w:r>
    </w:p>
  </w:footnote>
  <w:footnote w:id="14">
    <w:p w:rsidR="00224293" w:rsidRPr="00224293" w:rsidRDefault="0022429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{"citationItems":[{"id":"ITEM-1","itemData":{"author":[{"dropping-particle":"","family":"Daud","given":"Fathonah K.Ramdani Wahyu Sururuie","non-dropping-particle":"","parse-names":false,"suffix":""}],"id":"ITEM-1","issue":"2","issued":{"date-parts":[["2021"]]},"page":"148-169","title":"Otoritas Wali Nikah Dalam Islam: Analisis Perkawinan Tanpa Wali di Indonesia Perspektif Fiqh dan Hukum positif","type":"article-journal","volume":"15"},"uris":["http://www.mendeley.com/documents/?uuid=65ee3aae-6346-48b5-b278-bdf43f2c6117"]}],"mendeley":{"formattedCitation":"Daud.","plainTextFormattedCitation":"Daud.","previouslyFormattedCitation":"Daud."},"properties":{"noteIndex":14},"schema":"https://github.com/citation-style-language/schema/raw/master/csl-citation.json"}</w:instrText>
      </w:r>
      <w:r>
        <w:fldChar w:fldCharType="separate"/>
      </w:r>
      <w:r w:rsidRPr="00224293">
        <w:rPr>
          <w:noProof/>
        </w:rPr>
        <w:t>Daud.</w:t>
      </w:r>
      <w:r>
        <w:fldChar w:fldCharType="end"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5A4357"/>
    <w:multiLevelType w:val="multilevel"/>
    <w:tmpl w:val="3A2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61B1C"/>
    <w:multiLevelType w:val="multilevel"/>
    <w:tmpl w:val="867A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15D"/>
    <w:rsid w:val="000A1787"/>
    <w:rsid w:val="000C7F60"/>
    <w:rsid w:val="00224293"/>
    <w:rsid w:val="00377E48"/>
    <w:rsid w:val="0066425B"/>
    <w:rsid w:val="006A215D"/>
    <w:rsid w:val="00861CA7"/>
    <w:rsid w:val="00A71064"/>
    <w:rsid w:val="00C86B9A"/>
    <w:rsid w:val="00F738E0"/>
    <w:rsid w:val="00F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D8A764"/>
  <w15:docId w15:val="{54CA0DA9-F122-430A-B6D6-AEBBA832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unhideWhenUsed/>
    <w:rsid w:val="00A71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242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429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242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1C412A-4330-4CE8-BE3F-0DC5209DE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5</cp:revision>
  <dcterms:created xsi:type="dcterms:W3CDTF">2026-05-26T04:41:00Z</dcterms:created>
  <dcterms:modified xsi:type="dcterms:W3CDTF">2026-05-26T04:49:00Z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a462d1efd2434b0eb1709fecc47744f5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7th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 6th/7th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17th edition (author-date)</vt:lpwstr>
  </property>
  <property fmtid="{D5CDD505-2E9C-101B-9397-08002B2CF9AE}" pid="13" name="Mendeley Recent Style Id 5_1">
    <vt:lpwstr>http://www.zotero.org/styles/chicago-fullnote-bibliography</vt:lpwstr>
  </property>
  <property fmtid="{D5CDD505-2E9C-101B-9397-08002B2CF9AE}" pid="14" name="Mendeley Recent Style Name 5_1">
    <vt:lpwstr>Chicago Manual of Style 17th edition (full note)</vt:lpwstr>
  </property>
  <property fmtid="{D5CDD505-2E9C-101B-9397-08002B2CF9AE}" pid="15" name="Mendeley Recent Style Id 6_1">
    <vt:lpwstr>http://www.zotero.org/styles/harvard-cite-them-right</vt:lpwstr>
  </property>
  <property fmtid="{D5CDD505-2E9C-101B-9397-08002B2CF9AE}" pid="16" name="Mendeley Recent Style Name 6_1">
    <vt:lpwstr>Cite Them Right 12th edition - Harvard</vt:lpwstr>
  </property>
  <property fmtid="{D5CDD505-2E9C-101B-9397-08002B2CF9AE}" pid="17" name="Mendeley Recent Style Id 7_1">
    <vt:lpwstr>http://www.zotero.org/styles/ieee</vt:lpwstr>
  </property>
  <property fmtid="{D5CDD505-2E9C-101B-9397-08002B2CF9AE}" pid="18" name="Mendeley Recent Style Name 7_1">
    <vt:lpwstr>IEEE</vt:lpwstr>
  </property>
  <property fmtid="{D5CDD505-2E9C-101B-9397-08002B2CF9AE}" pid="19" name="Mendeley Recent Style Id 8_1">
    <vt:lpwstr>http://www.zotero.org/styles/modern-humanities-research-association</vt:lpwstr>
  </property>
  <property fmtid="{D5CDD505-2E9C-101B-9397-08002B2CF9AE}" pid="20" name="Mendeley Recent Style Name 8_1">
    <vt:lpwstr>Modern Humanities Research Association 4th edition (note with bibliography)</vt:lpwstr>
  </property>
  <property fmtid="{D5CDD505-2E9C-101B-9397-08002B2CF9AE}" pid="21" name="Mendeley Recent Style Id 9_1">
    <vt:lpwstr>http://www.zotero.org/styles/modern-language-association</vt:lpwstr>
  </property>
  <property fmtid="{D5CDD505-2E9C-101B-9397-08002B2CF9AE}" pid="22" name="Mendeley Recent Style Name 9_1">
    <vt:lpwstr>Modern Language Association 9th edition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e2611565-0d81-33f7-a38f-b9070831c1be</vt:lpwstr>
  </property>
  <property fmtid="{D5CDD505-2E9C-101B-9397-08002B2CF9AE}" pid="25" name="Mendeley Citation Style_1">
    <vt:lpwstr>http://www.zotero.org/styles/chicago-fullnote-bibliography</vt:lpwstr>
  </property>
</Properties>
</file>