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0604F" w14:textId="3ECB53EB" w:rsidR="000F5968" w:rsidRDefault="007B5C97" w:rsidP="00DF6970">
      <w:pPr>
        <w:pStyle w:val="Heading2"/>
      </w:pPr>
      <w:r>
        <w:t>Introduction</w:t>
      </w:r>
      <w:r w:rsidR="007729E2">
        <w:t xml:space="preserve"> </w:t>
      </w:r>
    </w:p>
    <w:p w14:paraId="3ED7DBFC" w14:textId="73C98DB5" w:rsidR="007729E2" w:rsidRDefault="007729E2" w:rsidP="000F5968">
      <w:pPr>
        <w:ind w:left="360"/>
      </w:pPr>
      <w:r>
        <w:t xml:space="preserve">This is a </w:t>
      </w:r>
      <w:r w:rsidR="000F5968">
        <w:t>list of rules and regulations that should be followed when selecting hardware for new builds. Duplicate machines or other exceptions may grandfather in old standards, but the best effort should be made to follow these procedures.</w:t>
      </w:r>
    </w:p>
    <w:p w14:paraId="2E85ADCD" w14:textId="77777777" w:rsidR="00210010" w:rsidRDefault="00210010" w:rsidP="007729E2">
      <w:pPr>
        <w:ind w:left="720" w:hanging="360"/>
      </w:pPr>
    </w:p>
    <w:p w14:paraId="285720C4" w14:textId="373F8AC5" w:rsidR="00B656A1" w:rsidRDefault="000F5968" w:rsidP="00DF6970">
      <w:pPr>
        <w:pStyle w:val="Heading2"/>
      </w:pPr>
      <w:r>
        <w:t>Control Architecture</w:t>
      </w:r>
    </w:p>
    <w:p w14:paraId="024F30BE" w14:textId="5C249954" w:rsidR="00B656A1" w:rsidRPr="00B656A1" w:rsidRDefault="00B656A1" w:rsidP="00B656A1">
      <w:pPr>
        <w:pStyle w:val="ListParagraph"/>
        <w:numPr>
          <w:ilvl w:val="1"/>
          <w:numId w:val="1"/>
        </w:numPr>
        <w:rPr>
          <w:b/>
          <w:bCs/>
        </w:rPr>
      </w:pPr>
      <w:r>
        <w:t xml:space="preserve">Allen-Bradley shall </w:t>
      </w:r>
      <w:r w:rsidR="007E2D88">
        <w:t xml:space="preserve">be </w:t>
      </w:r>
      <w:r>
        <w:t>the SDC default PLC</w:t>
      </w:r>
    </w:p>
    <w:p w14:paraId="3D0AC6D7" w14:textId="294B1190" w:rsidR="00FE7778" w:rsidRPr="00B656A1" w:rsidRDefault="00B656A1" w:rsidP="00B656A1">
      <w:pPr>
        <w:pStyle w:val="ListParagraph"/>
        <w:numPr>
          <w:ilvl w:val="1"/>
          <w:numId w:val="1"/>
        </w:numPr>
        <w:rPr>
          <w:b/>
          <w:bCs/>
        </w:rPr>
      </w:pPr>
      <w:r>
        <w:t xml:space="preserve">Projects using AB control shall use </w:t>
      </w:r>
      <w:r w:rsidRPr="00B656A1">
        <w:rPr>
          <w:b/>
          <w:bCs/>
        </w:rPr>
        <w:t>Compact Guard Logix</w:t>
      </w:r>
      <w:r>
        <w:t xml:space="preserve"> or </w:t>
      </w:r>
      <w:r w:rsidRPr="00B656A1">
        <w:rPr>
          <w:b/>
          <w:bCs/>
        </w:rPr>
        <w:t>Guard Logix</w:t>
      </w:r>
      <w:r>
        <w:t xml:space="preserve"> for safety functionality</w:t>
      </w:r>
    </w:p>
    <w:p w14:paraId="18FE7D80" w14:textId="1B2967CC" w:rsidR="00B656A1" w:rsidRDefault="00B656A1" w:rsidP="00DF6970">
      <w:pPr>
        <w:pStyle w:val="Heading2"/>
      </w:pPr>
      <w:r>
        <w:t>Safety</w:t>
      </w:r>
    </w:p>
    <w:p w14:paraId="27215413" w14:textId="2F8BA8E4" w:rsidR="00B656A1" w:rsidRPr="00B656A1" w:rsidRDefault="00B656A1" w:rsidP="00DF6970">
      <w:pPr>
        <w:pStyle w:val="ListParagraph"/>
        <w:numPr>
          <w:ilvl w:val="0"/>
          <w:numId w:val="5"/>
        </w:numPr>
        <w:rPr>
          <w:b/>
          <w:bCs/>
        </w:rPr>
      </w:pPr>
      <w:r w:rsidRPr="00B656A1">
        <w:rPr>
          <w:b/>
          <w:bCs/>
        </w:rPr>
        <w:t>Banner safety expansion relays</w:t>
      </w:r>
      <w:r>
        <w:t xml:space="preserve"> shall be used for contact expansion, not Omron safety relays</w:t>
      </w:r>
    </w:p>
    <w:p w14:paraId="3B5FA65E" w14:textId="7241075C" w:rsidR="00B656A1" w:rsidRPr="00B656A1" w:rsidRDefault="00B656A1" w:rsidP="00DF6970">
      <w:pPr>
        <w:pStyle w:val="ListParagraph"/>
        <w:numPr>
          <w:ilvl w:val="0"/>
          <w:numId w:val="5"/>
        </w:numPr>
        <w:rPr>
          <w:b/>
          <w:bCs/>
        </w:rPr>
      </w:pPr>
      <w:r>
        <w:t>Banner safety expansion relays shall be wired in bipolar mode.</w:t>
      </w:r>
    </w:p>
    <w:p w14:paraId="5C26445C" w14:textId="27CCEFF7" w:rsidR="00B656A1" w:rsidRPr="00AB6A82" w:rsidRDefault="00B656A1" w:rsidP="00DF6970">
      <w:pPr>
        <w:pStyle w:val="ListParagraph"/>
        <w:numPr>
          <w:ilvl w:val="0"/>
          <w:numId w:val="5"/>
        </w:numPr>
        <w:rPr>
          <w:b/>
          <w:bCs/>
        </w:rPr>
      </w:pPr>
      <w:r>
        <w:t>Keyence safety PLCs shall only be used on non-AB projects, example: First Solar</w:t>
      </w:r>
    </w:p>
    <w:p w14:paraId="1192194E" w14:textId="7C248424" w:rsidR="00AB6A82" w:rsidRPr="00B656A1" w:rsidRDefault="00AB6A82" w:rsidP="00DF6970">
      <w:pPr>
        <w:pStyle w:val="ListParagraph"/>
        <w:numPr>
          <w:ilvl w:val="0"/>
          <w:numId w:val="5"/>
        </w:numPr>
        <w:rPr>
          <w:b/>
          <w:bCs/>
        </w:rPr>
      </w:pPr>
      <w:r>
        <w:t xml:space="preserve">Guard door switches </w:t>
      </w:r>
      <w:proofErr w:type="gramStart"/>
      <w:r>
        <w:t>shall</w:t>
      </w:r>
      <w:proofErr w:type="gramEnd"/>
      <w:r>
        <w:t xml:space="preserve"> be </w:t>
      </w:r>
      <w:r w:rsidRPr="00AB6A82">
        <w:rPr>
          <w:b/>
          <w:bCs/>
        </w:rPr>
        <w:t>Keyence GS-M51P</w:t>
      </w:r>
      <w:r>
        <w:rPr>
          <w:b/>
          <w:bCs/>
        </w:rPr>
        <w:t>.</w:t>
      </w:r>
    </w:p>
    <w:p w14:paraId="3B07C0A9" w14:textId="5F9523BA" w:rsidR="00B656A1" w:rsidRPr="00AB6A82" w:rsidRDefault="00AB6A82" w:rsidP="00DF6970">
      <w:pPr>
        <w:pStyle w:val="Heading3"/>
      </w:pPr>
      <w:r w:rsidRPr="00AB6A82">
        <w:t>IO</w:t>
      </w:r>
    </w:p>
    <w:p w14:paraId="4880FB7D" w14:textId="5AE1790B" w:rsidR="00AB6A82" w:rsidRDefault="00AB6A82" w:rsidP="00DF6970">
      <w:pPr>
        <w:pStyle w:val="ListParagraph"/>
        <w:numPr>
          <w:ilvl w:val="0"/>
          <w:numId w:val="6"/>
        </w:numPr>
      </w:pPr>
      <w:r w:rsidRPr="00AB6A82">
        <w:t xml:space="preserve">The </w:t>
      </w:r>
      <w:r w:rsidRPr="00AB6A82">
        <w:rPr>
          <w:b/>
          <w:bCs/>
        </w:rPr>
        <w:t>SMC EX600</w:t>
      </w:r>
      <w:r w:rsidRPr="00AB6A82">
        <w:t xml:space="preserve"> should be our primary platform for </w:t>
      </w:r>
      <w:proofErr w:type="gramStart"/>
      <w:r w:rsidRPr="00AB6A82">
        <w:t>on</w:t>
      </w:r>
      <w:proofErr w:type="gramEnd"/>
      <w:r w:rsidRPr="00AB6A82">
        <w:t xml:space="preserve"> machine I/O, not I/O Link.  The EX600 has an I/O Link module to handle any needs.</w:t>
      </w:r>
    </w:p>
    <w:p w14:paraId="1EAEE5CA" w14:textId="6DD46113" w:rsidR="00C600EE" w:rsidRDefault="00C600EE" w:rsidP="00DF6970">
      <w:pPr>
        <w:pStyle w:val="Heading3"/>
      </w:pPr>
      <w:r w:rsidRPr="00C600EE">
        <w:t>DC Power Supplies</w:t>
      </w:r>
    </w:p>
    <w:p w14:paraId="3E5E41EA" w14:textId="2A5E1905" w:rsidR="00C600EE" w:rsidRPr="00980600" w:rsidRDefault="00C600EE" w:rsidP="00DF6970">
      <w:pPr>
        <w:pStyle w:val="ListParagraph"/>
        <w:numPr>
          <w:ilvl w:val="0"/>
          <w:numId w:val="7"/>
        </w:numPr>
        <w:rPr>
          <w:b/>
          <w:bCs/>
        </w:rPr>
      </w:pPr>
      <w:r>
        <w:t xml:space="preserve">24VDC power supplies shall be Puls CP series.  The most </w:t>
      </w:r>
      <w:proofErr w:type="gramStart"/>
      <w:r>
        <w:t>common</w:t>
      </w:r>
      <w:proofErr w:type="gramEnd"/>
      <w:r>
        <w:t xml:space="preserve"> used part numbers will CP5.241 (5A), CP10.241 (10A), and CP20.241 (20A).</w:t>
      </w:r>
    </w:p>
    <w:p w14:paraId="18F775A0" w14:textId="6F74E117" w:rsidR="00980600" w:rsidRDefault="00980600" w:rsidP="00DF6970">
      <w:pPr>
        <w:pStyle w:val="Heading3"/>
      </w:pPr>
      <w:r>
        <w:t>Circuit Breakers</w:t>
      </w:r>
    </w:p>
    <w:p w14:paraId="0CE672E7" w14:textId="599F5CFD" w:rsidR="00980600" w:rsidRDefault="00980600" w:rsidP="00DF6970">
      <w:pPr>
        <w:pStyle w:val="ListParagraph"/>
        <w:numPr>
          <w:ilvl w:val="0"/>
          <w:numId w:val="8"/>
        </w:numPr>
        <w:rPr>
          <w:b/>
          <w:bCs/>
        </w:rPr>
      </w:pPr>
      <w:r>
        <w:t xml:space="preserve">Circuit Breakers shall be </w:t>
      </w:r>
      <w:r w:rsidRPr="00980600">
        <w:rPr>
          <w:b/>
          <w:bCs/>
        </w:rPr>
        <w:t>Noark</w:t>
      </w:r>
    </w:p>
    <w:p w14:paraId="25CA59B7" w14:textId="530D633F" w:rsidR="00C75991" w:rsidRDefault="00C75991" w:rsidP="00C75991">
      <w:pPr>
        <w:pStyle w:val="Heading3"/>
      </w:pPr>
      <w:r>
        <w:t>Servo</w:t>
      </w:r>
    </w:p>
    <w:p w14:paraId="6F302A0E" w14:textId="0F3F68E1" w:rsidR="00C75991" w:rsidRPr="00C75991" w:rsidRDefault="00C75991" w:rsidP="00C75991">
      <w:pPr>
        <w:pStyle w:val="ListParagraph"/>
        <w:numPr>
          <w:ilvl w:val="0"/>
          <w:numId w:val="9"/>
        </w:numPr>
        <w:rPr>
          <w:b/>
          <w:bCs/>
        </w:rPr>
      </w:pPr>
      <w:r>
        <w:t xml:space="preserve">AB servo drives shall be </w:t>
      </w:r>
      <w:r w:rsidRPr="00C75991">
        <w:rPr>
          <w:b/>
          <w:bCs/>
        </w:rPr>
        <w:t xml:space="preserve">5300 or 5500 </w:t>
      </w:r>
      <w:r>
        <w:t>series drives</w:t>
      </w:r>
      <w:r w:rsidR="006C2B54">
        <w:t xml:space="preserve">. </w:t>
      </w:r>
      <w:r w:rsidR="006C2B54">
        <w:rPr>
          <w:b/>
          <w:bCs/>
        </w:rPr>
        <w:t>5100</w:t>
      </w:r>
      <w:r w:rsidR="006C2B54">
        <w:t xml:space="preserve"> series drives can be used on a case-by-case basis. Examples include: An already purchased PLC is out of available motion axes and requires more, cost reduction for many repeated simple motion applications, repeat jobs.</w:t>
      </w:r>
    </w:p>
    <w:sectPr w:rsidR="00C75991" w:rsidRPr="00C75991">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8439A" w14:textId="77777777" w:rsidR="00C511DC" w:rsidRDefault="00C511DC" w:rsidP="007729E2">
      <w:pPr>
        <w:spacing w:after="0" w:line="240" w:lineRule="auto"/>
      </w:pPr>
      <w:r>
        <w:separator/>
      </w:r>
    </w:p>
  </w:endnote>
  <w:endnote w:type="continuationSeparator" w:id="0">
    <w:p w14:paraId="10C40C36" w14:textId="77777777" w:rsidR="00C511DC" w:rsidRDefault="00C511DC" w:rsidP="00772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56765" w14:textId="3D3CCD70" w:rsidR="00DF6970" w:rsidRDefault="00DF6970">
    <w:pPr>
      <w:pStyle w:val="Footer"/>
    </w:pPr>
    <w:r>
      <w:t>Revision Date: 3/12/2026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D5316" w14:textId="77777777" w:rsidR="00C511DC" w:rsidRDefault="00C511DC" w:rsidP="007729E2">
      <w:pPr>
        <w:spacing w:after="0" w:line="240" w:lineRule="auto"/>
      </w:pPr>
      <w:r>
        <w:separator/>
      </w:r>
    </w:p>
  </w:footnote>
  <w:footnote w:type="continuationSeparator" w:id="0">
    <w:p w14:paraId="6E4F0639" w14:textId="77777777" w:rsidR="00C511DC" w:rsidRDefault="00C511DC" w:rsidP="00772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9035" w14:textId="3A87D84C" w:rsidR="00DF6970" w:rsidRPr="00DF6970" w:rsidRDefault="00DF6970" w:rsidP="00DF6970">
    <w:pPr>
      <w:pStyle w:val="Header"/>
    </w:pPr>
    <w:r w:rsidRPr="00DF6970">
      <w:rPr>
        <w:noProof/>
      </w:rPr>
      <mc:AlternateContent>
        <mc:Choice Requires="wps">
          <w:drawing>
            <wp:anchor distT="0" distB="0" distL="114300" distR="114300" simplePos="0" relativeHeight="251661312" behindDoc="1" locked="0" layoutInCell="1" allowOverlap="1" wp14:anchorId="540C3170" wp14:editId="20C76EA8">
              <wp:simplePos x="0" y="0"/>
              <wp:positionH relativeFrom="margin">
                <wp:align>center</wp:align>
              </wp:positionH>
              <wp:positionV relativeFrom="page">
                <wp:posOffset>552450</wp:posOffset>
              </wp:positionV>
              <wp:extent cx="2790825" cy="253365"/>
              <wp:effectExtent l="0" t="0" r="9525" b="13335"/>
              <wp:wrapNone/>
              <wp:docPr id="148643844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253365"/>
                      </a:xfrm>
                      <a:prstGeom prst="rect">
                        <a:avLst/>
                      </a:prstGeom>
                      <a:noFill/>
                      <a:ln>
                        <a:noFill/>
                      </a:ln>
                    </wps:spPr>
                    <wps:txbx>
                      <w:txbxContent>
                        <w:p w14:paraId="62D96D0C" w14:textId="1AE030BD" w:rsidR="00DF6970" w:rsidRDefault="001667A5" w:rsidP="00DF6970">
                          <w:pPr>
                            <w:spacing w:before="11"/>
                            <w:ind w:left="20"/>
                            <w:rPr>
                              <w:spacing w:val="-10"/>
                              <w:sz w:val="28"/>
                            </w:rPr>
                          </w:pPr>
                          <w:r>
                            <w:rPr>
                              <w:spacing w:val="-10"/>
                              <w:sz w:val="28"/>
                            </w:rPr>
                            <w:t xml:space="preserve">EE </w:t>
                          </w:r>
                          <w:r w:rsidR="00DF6970">
                            <w:rPr>
                              <w:spacing w:val="-10"/>
                              <w:sz w:val="28"/>
                            </w:rPr>
                            <w:t>Hardware Specification Regulations</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0C3170" id="_x0000_t202" coordsize="21600,21600" o:spt="202" path="m,l,21600r21600,l21600,xe">
              <v:stroke joinstyle="miter"/>
              <v:path gradientshapeok="t" o:connecttype="rect"/>
            </v:shapetype>
            <v:shape id="Text Box 6" o:spid="_x0000_s1026" type="#_x0000_t202" style="position:absolute;margin-left:0;margin-top:43.5pt;width:219.75pt;height:19.95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" filled="f" stroked="f">
              <v:textbox inset="0,0,0,0">
                <w:txbxContent>
                  <w:p w14:paraId="62D96D0C" w14:textId="1AE030BD" w:rsidR="00DF6970" w:rsidRDefault="001667A5" w:rsidP="00DF6970">
                    <w:pPr>
                      <w:spacing w:before="11"/>
                      <w:ind w:left="20"/>
                      <w:rPr>
                        <w:spacing w:val="-10"/>
                        <w:sz w:val="28"/>
                      </w:rPr>
                    </w:pPr>
                    <w:r>
                      <w:rPr>
                        <w:spacing w:val="-10"/>
                        <w:sz w:val="28"/>
                      </w:rPr>
                      <w:t xml:space="preserve">EE </w:t>
                    </w:r>
                    <w:r w:rsidR="00DF6970">
                      <w:rPr>
                        <w:spacing w:val="-10"/>
                        <w:sz w:val="28"/>
                      </w:rPr>
                      <w:t>Hardware Specification Regulations</w:t>
                    </w:r>
                  </w:p>
                </w:txbxContent>
              </v:textbox>
              <w10:wrap anchorx="margin" anchory="page"/>
            </v:shape>
          </w:pict>
        </mc:Fallback>
      </mc:AlternateContent>
    </w:r>
    <w:r w:rsidRPr="00DF6970">
      <w:rPr>
        <w:noProof/>
      </w:rPr>
      <w:drawing>
        <wp:anchor distT="0" distB="0" distL="0" distR="0" simplePos="0" relativeHeight="251659264" behindDoc="1" locked="0" layoutInCell="1" allowOverlap="1" wp14:anchorId="72D165DC" wp14:editId="5A56B74D">
          <wp:simplePos x="0" y="0"/>
          <wp:positionH relativeFrom="page">
            <wp:posOffset>636905</wp:posOffset>
          </wp:positionH>
          <wp:positionV relativeFrom="page">
            <wp:posOffset>238125</wp:posOffset>
          </wp:positionV>
          <wp:extent cx="1256030" cy="558165"/>
          <wp:effectExtent l="0" t="0" r="1270" b="0"/>
          <wp:wrapNone/>
          <wp:docPr id="428835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6030" cy="558165"/>
                  </a:xfrm>
                  <a:prstGeom prst="rect">
                    <a:avLst/>
                  </a:prstGeom>
                  <a:noFill/>
                </pic:spPr>
              </pic:pic>
            </a:graphicData>
          </a:graphic>
          <wp14:sizeRelH relativeFrom="margin">
            <wp14:pctWidth>0</wp14:pctWidth>
          </wp14:sizeRelH>
          <wp14:sizeRelV relativeFrom="page">
            <wp14:pctHeight>0</wp14:pctHeight>
          </wp14:sizeRelV>
        </wp:anchor>
      </w:drawing>
    </w:r>
    <w:r w:rsidRPr="00DF6970">
      <w:rPr>
        <w:noProof/>
      </w:rPr>
      <mc:AlternateContent>
        <mc:Choice Requires="wps">
          <w:drawing>
            <wp:anchor distT="0" distB="0" distL="114300" distR="114300" simplePos="0" relativeHeight="251660288" behindDoc="1" locked="0" layoutInCell="1" allowOverlap="1" wp14:anchorId="663D9065" wp14:editId="75B864BD">
              <wp:simplePos x="0" y="0"/>
              <wp:positionH relativeFrom="page">
                <wp:posOffset>6279515</wp:posOffset>
              </wp:positionH>
              <wp:positionV relativeFrom="page">
                <wp:posOffset>384175</wp:posOffset>
              </wp:positionV>
              <wp:extent cx="795020" cy="371475"/>
              <wp:effectExtent l="0" t="0" r="5080" b="9525"/>
              <wp:wrapNone/>
              <wp:docPr id="133362376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5020" cy="371475"/>
                      </a:xfrm>
                      <a:prstGeom prst="rect">
                        <a:avLst/>
                      </a:prstGeom>
                      <a:noFill/>
                      <a:ln>
                        <a:noFill/>
                      </a:ln>
                    </wps:spPr>
                    <wps:txbx>
                      <w:txbxContent>
                        <w:p w14:paraId="4A3956F3" w14:textId="77777777" w:rsidR="00DF6970" w:rsidRDefault="00DF6970" w:rsidP="00DF6970">
                          <w:pPr>
                            <w:ind w:left="20"/>
                            <w:rPr>
                              <w:spacing w:val="-5"/>
                            </w:rPr>
                          </w:pPr>
                          <w:r>
                            <w:rPr>
                              <w:spacing w:val="-5"/>
                              <w:w w:val="95"/>
                            </w:rPr>
                            <w:t>Revision:</w:t>
                          </w:r>
                          <w:r>
                            <w:rPr>
                              <w:spacing w:val="-9"/>
                              <w:w w:val="95"/>
                            </w:rPr>
                            <w:t xml:space="preserve"> </w:t>
                          </w:r>
                          <w:r>
                            <w:rPr>
                              <w:spacing w:val="-5"/>
                            </w:rPr>
                            <w:t>01</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3D9065" id="Text Box 4" o:spid="_x0000_s1027" type="#_x0000_t202" style="position:absolute;margin-left:494.45pt;margin-top:30.25pt;width:62.6pt;height:29.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" filled="f" stroked="f">
              <v:textbox inset="0,0,0,0">
                <w:txbxContent>
                  <w:p w14:paraId="4A3956F3" w14:textId="77777777" w:rsidR="00DF6970" w:rsidRDefault="00DF6970" w:rsidP="00DF6970">
                    <w:pPr>
                      <w:ind w:left="20"/>
                      <w:rPr>
                        <w:spacing w:val="-5"/>
                      </w:rPr>
                    </w:pPr>
                    <w:r>
                      <w:rPr>
                        <w:spacing w:val="-5"/>
                        <w:w w:val="95"/>
                      </w:rPr>
                      <w:t>Revision:</w:t>
                    </w:r>
                    <w:r>
                      <w:rPr>
                        <w:spacing w:val="-9"/>
                        <w:w w:val="95"/>
                      </w:rPr>
                      <w:t xml:space="preserve"> </w:t>
                    </w:r>
                    <w:r>
                      <w:rPr>
                        <w:spacing w:val="-5"/>
                      </w:rPr>
                      <w:t>01</w:t>
                    </w:r>
                  </w:p>
                </w:txbxContent>
              </v:textbox>
              <w10:wrap anchorx="page" anchory="page"/>
            </v:shape>
          </w:pict>
        </mc:Fallback>
      </mc:AlternateContent>
    </w:r>
  </w:p>
  <w:p w14:paraId="3C876D22" w14:textId="77777777" w:rsidR="00DF6970" w:rsidRDefault="00DF69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63DB"/>
    <w:multiLevelType w:val="hybridMultilevel"/>
    <w:tmpl w:val="046AD3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2985207"/>
    <w:multiLevelType w:val="hybridMultilevel"/>
    <w:tmpl w:val="3BBE7A52"/>
    <w:lvl w:ilvl="0" w:tplc="B0427E86">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37385"/>
    <w:multiLevelType w:val="hybridMultilevel"/>
    <w:tmpl w:val="3606FF74"/>
    <w:lvl w:ilvl="0" w:tplc="0409000F">
      <w:start w:val="1"/>
      <w:numFmt w:val="decimal"/>
      <w:lvlText w:val="%1."/>
      <w:lvlJc w:val="left"/>
      <w:pPr>
        <w:ind w:left="720" w:hanging="360"/>
      </w:pPr>
      <w:rPr>
        <w:rFonts w:hint="default"/>
      </w:rPr>
    </w:lvl>
    <w:lvl w:ilvl="1" w:tplc="B0427E86">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4B5F9B"/>
    <w:multiLevelType w:val="hybridMultilevel"/>
    <w:tmpl w:val="3BBE7A52"/>
    <w:lvl w:ilvl="0" w:tplc="FFFFFFFF">
      <w:start w:val="1"/>
      <w:numFmt w:val="lowerLetter"/>
      <w:lvlText w:val="%1."/>
      <w:lvlJc w:val="left"/>
      <w:pPr>
        <w:ind w:left="144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4153D44"/>
    <w:multiLevelType w:val="hybridMultilevel"/>
    <w:tmpl w:val="3BBE7A52"/>
    <w:lvl w:ilvl="0" w:tplc="FFFFFFFF">
      <w:start w:val="1"/>
      <w:numFmt w:val="lowerLetter"/>
      <w:lvlText w:val="%1."/>
      <w:lvlJc w:val="left"/>
      <w:pPr>
        <w:ind w:left="144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6C310B6"/>
    <w:multiLevelType w:val="hybridMultilevel"/>
    <w:tmpl w:val="3BBE7A52"/>
    <w:lvl w:ilvl="0" w:tplc="FFFFFFFF">
      <w:start w:val="1"/>
      <w:numFmt w:val="lowerLetter"/>
      <w:lvlText w:val="%1."/>
      <w:lvlJc w:val="left"/>
      <w:pPr>
        <w:ind w:left="144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44C623E"/>
    <w:multiLevelType w:val="hybridMultilevel"/>
    <w:tmpl w:val="4210BC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E3B4569"/>
    <w:multiLevelType w:val="hybridMultilevel"/>
    <w:tmpl w:val="458C62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E656C2E"/>
    <w:multiLevelType w:val="hybridMultilevel"/>
    <w:tmpl w:val="3BBE7A52"/>
    <w:lvl w:ilvl="0" w:tplc="FFFFFFFF">
      <w:start w:val="1"/>
      <w:numFmt w:val="lowerLetter"/>
      <w:lvlText w:val="%1."/>
      <w:lvlJc w:val="left"/>
      <w:pPr>
        <w:ind w:left="144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32615343">
    <w:abstractNumId w:val="2"/>
  </w:num>
  <w:num w:numId="2" w16cid:durableId="2008556037">
    <w:abstractNumId w:val="7"/>
  </w:num>
  <w:num w:numId="3" w16cid:durableId="93015308">
    <w:abstractNumId w:val="0"/>
  </w:num>
  <w:num w:numId="4" w16cid:durableId="902108702">
    <w:abstractNumId w:val="6"/>
  </w:num>
  <w:num w:numId="5" w16cid:durableId="4137359">
    <w:abstractNumId w:val="1"/>
  </w:num>
  <w:num w:numId="6" w16cid:durableId="193275284">
    <w:abstractNumId w:val="3"/>
  </w:num>
  <w:num w:numId="7" w16cid:durableId="748886454">
    <w:abstractNumId w:val="4"/>
  </w:num>
  <w:num w:numId="8" w16cid:durableId="1541627145">
    <w:abstractNumId w:val="5"/>
  </w:num>
  <w:num w:numId="9" w16cid:durableId="21047596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9E2"/>
    <w:rsid w:val="00003DD0"/>
    <w:rsid w:val="00025F21"/>
    <w:rsid w:val="0008623E"/>
    <w:rsid w:val="000F5968"/>
    <w:rsid w:val="001026C0"/>
    <w:rsid w:val="001667A5"/>
    <w:rsid w:val="001D1F28"/>
    <w:rsid w:val="001D62A8"/>
    <w:rsid w:val="00210010"/>
    <w:rsid w:val="002663CE"/>
    <w:rsid w:val="002F09FB"/>
    <w:rsid w:val="003C16FB"/>
    <w:rsid w:val="003D7024"/>
    <w:rsid w:val="005779BB"/>
    <w:rsid w:val="006C2B54"/>
    <w:rsid w:val="006D7716"/>
    <w:rsid w:val="00703D19"/>
    <w:rsid w:val="007729E2"/>
    <w:rsid w:val="007B5C97"/>
    <w:rsid w:val="007E2D88"/>
    <w:rsid w:val="00837A7C"/>
    <w:rsid w:val="008A1008"/>
    <w:rsid w:val="008A469F"/>
    <w:rsid w:val="008B5076"/>
    <w:rsid w:val="00903917"/>
    <w:rsid w:val="00936111"/>
    <w:rsid w:val="0094385E"/>
    <w:rsid w:val="00980600"/>
    <w:rsid w:val="00A1304B"/>
    <w:rsid w:val="00AB6A82"/>
    <w:rsid w:val="00AE07DF"/>
    <w:rsid w:val="00B230CF"/>
    <w:rsid w:val="00B3705C"/>
    <w:rsid w:val="00B656A1"/>
    <w:rsid w:val="00BC751A"/>
    <w:rsid w:val="00BE46C1"/>
    <w:rsid w:val="00BF2591"/>
    <w:rsid w:val="00C26E18"/>
    <w:rsid w:val="00C34E45"/>
    <w:rsid w:val="00C511DC"/>
    <w:rsid w:val="00C600EE"/>
    <w:rsid w:val="00C75991"/>
    <w:rsid w:val="00CB09B0"/>
    <w:rsid w:val="00D23767"/>
    <w:rsid w:val="00DB658E"/>
    <w:rsid w:val="00DC7D04"/>
    <w:rsid w:val="00DD5849"/>
    <w:rsid w:val="00DF6970"/>
    <w:rsid w:val="00E06D0D"/>
    <w:rsid w:val="00E16E02"/>
    <w:rsid w:val="00E42456"/>
    <w:rsid w:val="00E5673C"/>
    <w:rsid w:val="00E919A7"/>
    <w:rsid w:val="00EE5BF9"/>
    <w:rsid w:val="00F13365"/>
    <w:rsid w:val="00F65BC4"/>
    <w:rsid w:val="00F670FF"/>
    <w:rsid w:val="00FE7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B506A"/>
  <w15:chartTrackingRefBased/>
  <w15:docId w15:val="{2A8FEDE5-7755-4470-8E65-12B3CF90A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2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2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2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2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9E2"/>
    <w:rPr>
      <w:rFonts w:eastAsiaTheme="majorEastAsia" w:cstheme="majorBidi"/>
      <w:color w:val="272727" w:themeColor="text1" w:themeTint="D8"/>
    </w:rPr>
  </w:style>
  <w:style w:type="paragraph" w:styleId="Title">
    <w:name w:val="Title"/>
    <w:basedOn w:val="Normal"/>
    <w:next w:val="Normal"/>
    <w:link w:val="TitleChar"/>
    <w:uiPriority w:val="10"/>
    <w:qFormat/>
    <w:rsid w:val="00772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9E2"/>
    <w:pPr>
      <w:spacing w:before="160"/>
      <w:jc w:val="center"/>
    </w:pPr>
    <w:rPr>
      <w:i/>
      <w:iCs/>
      <w:color w:val="404040" w:themeColor="text1" w:themeTint="BF"/>
    </w:rPr>
  </w:style>
  <w:style w:type="character" w:customStyle="1" w:styleId="QuoteChar">
    <w:name w:val="Quote Char"/>
    <w:basedOn w:val="DefaultParagraphFont"/>
    <w:link w:val="Quote"/>
    <w:uiPriority w:val="29"/>
    <w:rsid w:val="007729E2"/>
    <w:rPr>
      <w:i/>
      <w:iCs/>
      <w:color w:val="404040" w:themeColor="text1" w:themeTint="BF"/>
    </w:rPr>
  </w:style>
  <w:style w:type="paragraph" w:styleId="ListParagraph">
    <w:name w:val="List Paragraph"/>
    <w:basedOn w:val="Normal"/>
    <w:uiPriority w:val="34"/>
    <w:qFormat/>
    <w:rsid w:val="007729E2"/>
    <w:pPr>
      <w:ind w:left="720"/>
      <w:contextualSpacing/>
    </w:pPr>
  </w:style>
  <w:style w:type="character" w:styleId="IntenseEmphasis">
    <w:name w:val="Intense Emphasis"/>
    <w:basedOn w:val="DefaultParagraphFont"/>
    <w:uiPriority w:val="21"/>
    <w:qFormat/>
    <w:rsid w:val="007729E2"/>
    <w:rPr>
      <w:i/>
      <w:iCs/>
      <w:color w:val="0F4761" w:themeColor="accent1" w:themeShade="BF"/>
    </w:rPr>
  </w:style>
  <w:style w:type="paragraph" w:styleId="IntenseQuote">
    <w:name w:val="Intense Quote"/>
    <w:basedOn w:val="Normal"/>
    <w:next w:val="Normal"/>
    <w:link w:val="IntenseQuoteChar"/>
    <w:uiPriority w:val="30"/>
    <w:qFormat/>
    <w:rsid w:val="00772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9E2"/>
    <w:rPr>
      <w:i/>
      <w:iCs/>
      <w:color w:val="0F4761" w:themeColor="accent1" w:themeShade="BF"/>
    </w:rPr>
  </w:style>
  <w:style w:type="character" w:styleId="IntenseReference">
    <w:name w:val="Intense Reference"/>
    <w:basedOn w:val="DefaultParagraphFont"/>
    <w:uiPriority w:val="32"/>
    <w:qFormat/>
    <w:rsid w:val="007729E2"/>
    <w:rPr>
      <w:b/>
      <w:bCs/>
      <w:smallCaps/>
      <w:color w:val="0F4761" w:themeColor="accent1" w:themeShade="BF"/>
      <w:spacing w:val="5"/>
    </w:rPr>
  </w:style>
  <w:style w:type="paragraph" w:styleId="Header">
    <w:name w:val="header"/>
    <w:basedOn w:val="Normal"/>
    <w:link w:val="HeaderChar"/>
    <w:uiPriority w:val="99"/>
    <w:unhideWhenUsed/>
    <w:rsid w:val="007729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9E2"/>
  </w:style>
  <w:style w:type="paragraph" w:styleId="Footer">
    <w:name w:val="footer"/>
    <w:basedOn w:val="Normal"/>
    <w:link w:val="FooterChar"/>
    <w:uiPriority w:val="99"/>
    <w:unhideWhenUsed/>
    <w:rsid w:val="007729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CE907-F19F-4A4D-9A43-4F18177DC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192</Words>
  <Characters>1134</Characters>
  <Application>Microsoft Office Word</Application>
  <DocSecurity>0</DocSecurity>
  <Lines>39</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Wilmot</dc:creator>
  <cp:keywords/>
  <dc:description/>
  <cp:lastModifiedBy>Tim Wilmot</cp:lastModifiedBy>
  <cp:revision>11</cp:revision>
  <dcterms:created xsi:type="dcterms:W3CDTF">2026-02-06T18:59:00Z</dcterms:created>
  <dcterms:modified xsi:type="dcterms:W3CDTF">2026-04-29T18:40:00Z</dcterms:modified>
</cp:coreProperties>
</file>