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rFonts w:ascii="Play" w:cs="Play" w:eastAsia="Play" w:hAnsi="Play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jc w:val="center"/>
        <w:rPr>
          <w:rFonts w:ascii="Play" w:cs="Play" w:eastAsia="Play" w:hAnsi="Play"/>
          <w:b w:val="1"/>
          <w:bCs w:val="1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Timing Plan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High-Level Overview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Phase One (Months 1–3): Identifying and Curating Research Questions Across 26 Fields</w:t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Gather abstracts and metadata from OpenAlex.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Use a low-parameter Large Language Model to generate questions for each abstract.</w:t>
      </w:r>
    </w:p>
    <w:p w:rsidR="00000000" w:rsidDel="00000000" w:rsidP="00000000" w:rsidRDefault="00000000" w:rsidRPr="00000000" w14:paraId="00000008">
      <w:pPr>
        <w:pStyle w:val="Heading5"/>
        <w:numPr>
          <w:ilvl w:val="0"/>
          <w:numId w:val="37"/>
        </w:numPr>
        <w:spacing w:after="240" w:line="276" w:lineRule="auto"/>
        <w:ind w:left="720" w:hanging="360"/>
        <w:rPr>
          <w:b w:val="0"/>
          <w:bCs w:val="0"/>
          <w:strike w:val="1"/>
        </w:rPr>
      </w:pPr>
      <w:bookmarkStart w:colFirst="0" w:colLast="0" w:name="_55c2m07khr9t" w:id="0"/>
      <w:bookmarkEnd w:id="0"/>
      <w:r w:rsidDel="00000000" w:rsidR="00000000" w:rsidRPr="00000000">
        <w:rPr>
          <w:b w:val="0"/>
          <w:bCs w:val="0"/>
          <w:strike w:val="1"/>
          <w:rtl w:val="0"/>
        </w:rPr>
        <w:t xml:space="preserve">Complete preliminary IRB/ARB requirements.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Phase Two (Months 4–6): Model Selection and Baseline Evaluations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Finalize the choice of LLMs for evaluation.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Conduct initial retrieval-augmented tests and grade results.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Refine rubrics for accuracy, analysis depth, coherence, and adaptability.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Phase Three (Months 7–9): Detailed Statistical and Qualitative Analyses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Perform inter-rater reliability checks, ANOVA, and confidence intervals.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Gather expert feedback in at least three specialized domains.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Compare the strengths/weaknesses of each LLM across the 26 fields.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Phase Four (Months 10–12): Write-Up, Dissemination, and Final Defense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Draft final dissertation chapters and incorporate feedback.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Prepare final presentation/defense materials.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Submit final dissertation to Chair and Committee.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z w:val="34"/>
          <w:szCs w:val="34"/>
        </w:rPr>
      </w:pPr>
      <w:bookmarkStart w:colFirst="0" w:colLast="0" w:name="_vv2xcknnfqlr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Detailed Timeline (By Weeks and Key Milestones)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Below is a week-by-week (and sometimes month-by-month) breakdown.  The four-phase plan weaves references to common elements, such as drafting and refining chapters, IRB work, continuous literature review, check-ins with the Chair, and final submission steps.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z w:val="26"/>
          <w:szCs w:val="26"/>
        </w:rPr>
      </w:pPr>
      <w:bookmarkStart w:colFirst="0" w:colLast="0" w:name="_n1jncmw3q2kn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Weeks 1–2: Initial Setup and ARB/IRB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Confirm ARB approval (or finalize any remaining details).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Create a dissertation draft template with proper formatting.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Begin Chapter 1: Introduction.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Refine the Problem Statement, Purpose, and Significance (aligns with your ARB form).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Milestones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ARB was officially approved.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24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Align tasks with your initial Phase One goal of collecting domain materials.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24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Redefining research questions as requested by ARB</w:t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z w:val="26"/>
          <w:szCs w:val="26"/>
        </w:rPr>
      </w:pPr>
      <w:bookmarkStart w:colFirst="0" w:colLast="0" w:name="_woq50mfv93dq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Weeks 3–4: Refining Chapter 1 and Curating Abstracts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Incorporate the Chair’s feedback on Chapter 1 (background, problem statement, and significance).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Conduct a comprehensive literature search for the 26 fields.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Begin curating abstracts from OpenAlex, focusing on ensuring domain coverage.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Collaborate with the Chair weekly to confirm readiness for IRB submission.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Milestones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Chapter 1 updated draft.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The initial set of curated abstracts across at least half of the fields.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87eoqs2f5us" w:id="4"/>
      <w:bookmarkEnd w:id="4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5–6: Finalizing IRB and Starting Chapter 2 (Literature Review)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Complete IRB submission and incorporate any final suggestions from the Chair.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Begin Chapter 2: Literature Review, synthesizing domain-specific knowledge from all 26 fields.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Identify potential “challenging” fields where subject-matter expert feedback will be crucial.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Draft or refine your conceptual framework sections (accuracy, coherence, adaptability, domain knowledge).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IRB submitted.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Chapter 2 outline (themes, subheadings for each domain) created.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i5cqs98fccvj" w:id="5"/>
      <w:bookmarkEnd w:id="5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7–8: Gathering and Annotating Domain Knowledge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Analyze each curated abstract systematically; produce at least one question per abstract via the low-parameter LLM (Phase One core activity).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Begin writing key sections of Chapter 2 with a deeper focus on domain knowledge.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Continue meeting with the Chair for feedback.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Completed a set of domain-specific questions in multiple fields.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Draft segments in Chapter 2 for each significant domain theme.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fft388z660in" w:id="6"/>
      <w:bookmarkEnd w:id="6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9–10: Transition to Phase Two — Model Selection &amp; Baseline Testing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Finalize the roster of LLMs to be tested.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Document the evaluation rubrics and pilot them in a small subset of domains.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If IRB feedback is back, address any requested revisions.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Start writing about your methodology (Chapter 3) to capture the planned LLM comparison approach.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IRB approval in hand (if revisions are needed).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Shortlist of LLMs, rubrics, and pilot test results in 1–3 domains.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wketta5hzhoi" w:id="7"/>
      <w:bookmarkEnd w:id="7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11–12: Conducting Baseline Evaluations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Evaluate LLMs with the curated domain-specific questions.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Collect quantitative/qualitative data on correctness, depth of analysis, and clarity.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Draft the “Methods” section fully (Chapter 3).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Continuously refine the pilot approach based on any IRB constraints.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Completion of baseline scoring in a few domains.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Chapter 3 first draft (experiment setup, data gathering plan, reliability checks).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pxvmftbbfv9g" w:id="8"/>
      <w:bookmarkEnd w:id="8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13–14: Deepen Literature Review and Prepare for Statistical Analysis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Continue refining Chapter 2.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Start verifying the approach to inter-rater reliability, ANOVA, and confidence interval calculations.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Ensure data collection and annotation processes are consistent.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Check with subject-matter experts for initial feedback in at least one domain.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Substantial progress in Chapter 2 so that it aligns with the newly emerging methodology.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Defined a statistical approach for your final Phase Three analyses.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79l1wxfdf0k7" w:id="9"/>
      <w:bookmarkEnd w:id="9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15–16: Wrapping Up Semester Milestones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If your program uses semester deliverables, please submit updated Chapters 1 and 2, plus a partial Chapter 3, to the Chair or committee.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Revisit or finalize additional references (aiming for 50–60 total).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Refine any IRB or logistical updates.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Chair's acceptance of Chapters 1–2.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Confirmation that IRB protocols are stable and data collection is authorized.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34"/>
          <w:szCs w:val="34"/>
        </w:rPr>
      </w:pPr>
      <w:bookmarkStart w:colFirst="0" w:colLast="0" w:name="_ra8pwux4xnx5" w:id="10"/>
      <w:bookmarkEnd w:id="10"/>
      <w:r w:rsidDel="00000000" w:rsidR="00000000" w:rsidRPr="00000000">
        <w:rPr>
          <w:rFonts w:ascii="Arial" w:cs="Arial" w:eastAsia="Arial" w:hAnsi="Arial"/>
          <w:strike w:val="1"/>
          <w:sz w:val="34"/>
          <w:szCs w:val="34"/>
          <w:rtl w:val="0"/>
        </w:rPr>
        <w:t xml:space="preserve">Months 5–6 (Weeks 17–24): Phase Two Continues — Full LLM Evaluations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84r6w86nasa" w:id="11"/>
      <w:bookmarkEnd w:id="11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17–20: Full-Scale Data Collection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Execute the final set of evaluations across all 26 fields.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Collect detailed results (true/false/possibly true/possibly false).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Ensure thorough data logging for later statistical analysis.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Dataset of LLM responses with preliminary scoring.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Ongoing weekly Chair check-ins.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xo9iy55sx9b7" w:id="12"/>
      <w:bookmarkEnd w:id="12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21–24: Finalizing Chapter 3 and Preliminary Results (Chapter 4)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Finalize methodology text (Chapter 3).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Begin drafting Chapter 4, focusing on raw results.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Prepare or conduct advanced reliability tests (Miller, 2024) to see if multiple scorers align.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Draft of Chapter 4 with initial results.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Full dataset ready for statistical Phase Three.</w:t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34"/>
          <w:szCs w:val="34"/>
        </w:rPr>
      </w:pPr>
      <w:bookmarkStart w:colFirst="0" w:colLast="0" w:name="_rj0r5ji470sk" w:id="13"/>
      <w:bookmarkEnd w:id="13"/>
      <w:r w:rsidDel="00000000" w:rsidR="00000000" w:rsidRPr="00000000">
        <w:rPr>
          <w:rFonts w:ascii="Arial" w:cs="Arial" w:eastAsia="Arial" w:hAnsi="Arial"/>
          <w:strike w:val="1"/>
          <w:sz w:val="34"/>
          <w:szCs w:val="34"/>
          <w:rtl w:val="0"/>
        </w:rPr>
        <w:t xml:space="preserve">Months 7–9 (Weeks 25–36): Phase Three — Detailed Statistical and Qualitative Analyses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tm81etgvneej" w:id="14"/>
      <w:bookmarkEnd w:id="14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25–28: Statistical Analysis and Expert Feedback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Apply ANOVA or alternative tests to detect variation across domains.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Calculate confidence intervals to measure inter-rater reliability.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Solicit domain experts’ input in at least three challenging fields.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Preliminary findings on which models excel in each field.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Integration of expert commentary.</w:t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3murqchviee2" w:id="15"/>
      <w:bookmarkEnd w:id="15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29–32: Interpretation and Chapter 4 Refinement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Refine Chapter 4 with a thorough statistical breakdown.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Link the results to your conceptual framework to start bridging into the discussion portion (Chapter 5).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Cross-check results with prior research (Ngo et al., 2024; Cai et al., 2024).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Polished set of tables/figures illustrating how LLMs differ across fields.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Preliminary discussion paragraphs are in place.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jegks6f99yix" w:id="16"/>
      <w:bookmarkEnd w:id="16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33–36: Drafting Chapter 5 (Findings, Recommendations)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Draft Chapter 5 focusing on: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Comparison to prior literature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Practical applications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Limitations and future research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Incorporate advanced statistical notes.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Substantial draft of Chapter 5.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Provide a clear demonstration of how your dissertation addresses the identified knowledge gap.</w:t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34"/>
          <w:szCs w:val="34"/>
        </w:rPr>
      </w:pPr>
      <w:bookmarkStart w:colFirst="0" w:colLast="0" w:name="_8wvp3xcebywr" w:id="17"/>
      <w:bookmarkEnd w:id="17"/>
      <w:r w:rsidDel="00000000" w:rsidR="00000000" w:rsidRPr="00000000">
        <w:rPr>
          <w:rFonts w:ascii="Arial" w:cs="Arial" w:eastAsia="Arial" w:hAnsi="Arial"/>
          <w:strike w:val="1"/>
          <w:sz w:val="34"/>
          <w:szCs w:val="34"/>
          <w:rtl w:val="0"/>
        </w:rPr>
        <w:t xml:space="preserve">Months 10–12 (Weeks 37–48): Phase Four — Write-Up, Defense, and Final Submission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5rf71hxq6kde" w:id="18"/>
      <w:bookmarkEnd w:id="18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37–40: Integrating All Chapters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Combine Chapters 1–5 into one cohesive document.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Revisit definitions, assumptions, and delimitations to ensure internal consistency.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Ensure references are correctly cited.</w:t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Complete dissertation draft assembled.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Submit to the Chair for a round of revisions.</w:t>
      </w:r>
    </w:p>
    <w:p w:rsidR="00000000" w:rsidDel="00000000" w:rsidP="00000000" w:rsidRDefault="00000000" w:rsidRPr="00000000" w14:paraId="000000AB">
      <w:pPr>
        <w:spacing w:after="240" w:before="240" w:line="276" w:lineRule="auto"/>
        <w:ind w:left="1440" w:hanging="360"/>
        <w:rPr>
          <w:rFonts w:ascii="Arial" w:cs="Arial" w:eastAsia="Arial" w:hAnsi="Arial"/>
          <w:strike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trike w:val="1"/>
          <w:sz w:val="26"/>
          <w:szCs w:val="26"/>
        </w:rPr>
      </w:pPr>
      <w:bookmarkStart w:colFirst="0" w:colLast="0" w:name="_ddrtm7wtlrh3" w:id="19"/>
      <w:bookmarkEnd w:id="19"/>
      <w:r w:rsidDel="00000000" w:rsidR="00000000" w:rsidRPr="00000000">
        <w:rPr>
          <w:rFonts w:ascii="Arial" w:cs="Arial" w:eastAsia="Arial" w:hAnsi="Arial"/>
          <w:strike w:val="1"/>
          <w:sz w:val="26"/>
          <w:szCs w:val="26"/>
          <w:rtl w:val="0"/>
        </w:rPr>
        <w:t xml:space="preserve">Weeks 41–44: Revision Rounds and Committee Feedback</w:t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Tasks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Incorporate Chair and Committee feedback.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Make final improvements to methodology, results presentation, or references.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Prepare IRB closure documents if applicable.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Arial" w:cs="Arial" w:eastAsia="Arial" w:hAnsi="Arial"/>
          <w:b w:val="1"/>
          <w:bCs w:val="1"/>
          <w:strike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trike w:val="1"/>
          <w:rtl w:val="0"/>
        </w:rPr>
        <w:t xml:space="preserve">Milestones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Committee sign-off on the near-final dissertation.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trike w:val="1"/>
          <w:rtl w:val="0"/>
        </w:rPr>
        <w:t xml:space="preserve">Approval to schedule the final defens</w:t>
      </w:r>
      <w:r w:rsidDel="00000000" w:rsidR="00000000" w:rsidRPr="00000000">
        <w:rPr>
          <w:rFonts w:ascii="Arial" w:cs="Arial" w:eastAsia="Arial" w:hAnsi="Arial"/>
          <w:rtl w:val="0"/>
        </w:rPr>
        <w:t xml:space="preserve">e.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z w:val="26"/>
          <w:szCs w:val="26"/>
        </w:rPr>
      </w:pPr>
      <w:bookmarkStart w:colFirst="0" w:colLast="0" w:name="_bdxwcektb9ct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Weeks 45–48: Final Defense and Submission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Prepare an oral defense presentation.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Rehearse and refine slides, figures, and arguments.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 dissertation defense.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Address any post-defense editorial changes.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Milestones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Successful defense.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submission of the dissertation to the university repository.</w:t>
        <w:br w:type="textWrapping"/>
      </w:r>
    </w:p>
    <w:p w:rsidR="00000000" w:rsidDel="00000000" w:rsidP="00000000" w:rsidRDefault="00000000" w:rsidRPr="00000000" w14:paraId="000000BE">
      <w:pPr>
        <w:spacing w:after="240" w:before="24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line="276" w:lineRule="auto"/>
        <w:ind w:left="1440" w:hanging="360"/>
        <w:rPr>
          <w:rFonts w:ascii="Arial" w:cs="Arial" w:eastAsia="Arial" w:hAnsi="Arial"/>
          <w:sz w:val="34"/>
          <w:szCs w:val="34"/>
        </w:rPr>
      </w:pPr>
      <w:bookmarkStart w:colFirst="0" w:colLast="0" w:name="_2f6sfanz808o" w:id="21"/>
      <w:bookmarkEnd w:id="2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Continuous Tasks (Throughout the Year)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Weekly or Bi-Weekly Check-Ins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Maintain regular Zoom or phone calls with your Chair.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 Management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Continuously update and annotate references.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Ongoing Literature Review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Keep up with new publications or relevant sources that emerge over the year.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 Iteration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Routinely refine chapters, completing tasks from your weekly “To Do” checklists.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Backup and Version Control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Maintain a safe backup of your data, drafts, and references.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-660397</wp:posOffset>
              </wp:positionH>
              <wp:positionV relativeFrom="paragraph">
                <wp:posOffset>88900</wp:posOffset>
              </wp:positionV>
              <wp:extent cx="8198074" cy="1016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85063" y="3780000"/>
                        <a:ext cx="8121874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D6242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-660397</wp:posOffset>
              </wp:positionH>
              <wp:positionV relativeFrom="paragraph">
                <wp:posOffset>88900</wp:posOffset>
              </wp:positionV>
              <wp:extent cx="8198074" cy="1016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98074" cy="101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9">
    <w:pPr>
      <w:jc w:val="center"/>
      <w:rPr>
        <w:rFonts w:ascii="Roboto Light" w:cs="Roboto Light" w:eastAsia="Roboto Light" w:hAnsi="Roboto Light"/>
        <w:sz w:val="21"/>
        <w:szCs w:val="21"/>
      </w:rPr>
    </w:pPr>
    <w:r w:rsidDel="00000000" w:rsidR="00000000" w:rsidRPr="00000000">
      <w:rPr>
        <w:rFonts w:ascii="Roboto Light" w:cs="Roboto Light" w:eastAsia="Roboto Light" w:hAnsi="Roboto Light"/>
        <w:b w:val="1"/>
        <w:bCs w:val="1"/>
        <w:sz w:val="24"/>
        <w:szCs w:val="24"/>
        <w:rtl w:val="0"/>
      </w:rPr>
      <w:t xml:space="preserve">11301 Springfield Road Laurel, MD 20708</w:t>
    </w:r>
    <w:r w:rsidDel="00000000" w:rsidR="00000000" w:rsidRPr="00000000">
      <w:rPr>
        <w:rFonts w:ascii="Roboto Light" w:cs="Roboto Light" w:eastAsia="Roboto Light" w:hAnsi="Roboto Light"/>
        <w:sz w:val="24"/>
        <w:szCs w:val="24"/>
        <w:rtl w:val="0"/>
      </w:rPr>
      <w:t xml:space="preserve"> | </w:t>
    </w:r>
    <w:r w:rsidDel="00000000" w:rsidR="00000000" w:rsidRPr="00000000">
      <w:rPr>
        <w:rFonts w:ascii="Roboto Light" w:cs="Roboto Light" w:eastAsia="Roboto Light" w:hAnsi="Roboto Light"/>
        <w:b w:val="1"/>
        <w:bCs w:val="1"/>
        <w:sz w:val="24"/>
        <w:szCs w:val="24"/>
        <w:rtl w:val="0"/>
      </w:rPr>
      <w:t xml:space="preserve">www.captechu.edu </w:t>
    </w:r>
    <w:r w:rsidDel="00000000" w:rsidR="00000000" w:rsidRPr="00000000">
      <w:rPr>
        <w:rFonts w:ascii="Roboto Light" w:cs="Roboto Light" w:eastAsia="Roboto Light" w:hAnsi="Roboto Light"/>
        <w:sz w:val="24"/>
        <w:szCs w:val="24"/>
        <w:rtl w:val="0"/>
      </w:rPr>
      <w:t xml:space="preserve">| Call </w:t>
    </w:r>
    <w:r w:rsidDel="00000000" w:rsidR="00000000" w:rsidRPr="00000000">
      <w:rPr>
        <w:rFonts w:ascii="Roboto Light" w:cs="Roboto Light" w:eastAsia="Roboto Light" w:hAnsi="Roboto Light"/>
        <w:b w:val="1"/>
        <w:bCs w:val="1"/>
        <w:color w:val="000000"/>
        <w:sz w:val="24"/>
        <w:szCs w:val="24"/>
        <w:highlight w:val="white"/>
        <w:rtl w:val="0"/>
      </w:rPr>
      <w:t xml:space="preserve">800.950.1992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-467356</wp:posOffset>
          </wp:positionH>
          <wp:positionV relativeFrom="paragraph">
            <wp:posOffset>-457195</wp:posOffset>
          </wp:positionV>
          <wp:extent cx="6858000" cy="1043940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8000" cy="10439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Light-regular.ttf"/><Relationship Id="rId4" Type="http://schemas.openxmlformats.org/officeDocument/2006/relationships/font" Target="fonts/RobotoLight-bold.ttf"/><Relationship Id="rId5" Type="http://schemas.openxmlformats.org/officeDocument/2006/relationships/font" Target="fonts/RobotoLight-italic.ttf"/><Relationship Id="rId6" Type="http://schemas.openxmlformats.org/officeDocument/2006/relationships/font" Target="fonts/Roboto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0x01010020DE279D9384F14588AE2DE07EF1B9B4</vt:lpwstr>
  </property>
  <property fmtid="{D5CDD505-2E9C-101B-9397-08002B2CF9AE}" pid="3" name="Order">
    <vt:lpwstr>1390900</vt:lpwstr>
  </property>
  <property fmtid="{D5CDD505-2E9C-101B-9397-08002B2CF9AE}" pid="4" name="xd_Signature">
    <vt:lpwstr>false</vt:lpwstr>
  </property>
  <property fmtid="{D5CDD505-2E9C-101B-9397-08002B2CF9AE}" pid="5" name="SharedWithUsers">
    <vt:lpwstr>486;#Terrell Moore</vt:lpwstr>
  </property>
  <property fmtid="{D5CDD505-2E9C-101B-9397-08002B2CF9AE}" pid="6" name="xd_ProgID">
    <vt:lpwstr>xd_ProgID</vt:lpwstr>
  </property>
  <property fmtid="{D5CDD505-2E9C-101B-9397-08002B2CF9AE}" pid="7" name="_SourceUrl">
    <vt:lpwstr>_SourceUrl</vt:lpwstr>
  </property>
  <property fmtid="{D5CDD505-2E9C-101B-9397-08002B2CF9AE}" pid="8" name="_SharedFileIndex">
    <vt:lpwstr>_SharedFileIndex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  <property fmtid="{D5CDD505-2E9C-101B-9397-08002B2CF9AE}" pid="11" name="_ExtendedDescription">
    <vt:lpwstr>_ExtendedDescription</vt:lpwstr>
  </property>
  <property fmtid="{D5CDD505-2E9C-101B-9397-08002B2CF9AE}" pid="12" name="TriggerFlowInfo">
    <vt:lpwstr>TriggerFlowInfo</vt:lpwstr>
  </property>
  <property fmtid="{D5CDD505-2E9C-101B-9397-08002B2CF9AE}" pid="13" name="MediaServiceImageTags">
    <vt:lpwstr>MediaServiceImageTags</vt:lpwstr>
  </property>
</Properties>
</file>