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v6p5y4jajfy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knkyokkho35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Chapter 1 –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8wyospgbmi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Background of the Study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Large language</w:t>
      </w:r>
      <w:r w:rsidDel="00000000" w:rsidR="00000000" w:rsidRPr="00000000">
        <w:rPr>
          <w:rtl w:val="0"/>
        </w:rPr>
        <w:t xml:space="preserve"> models (LLMs) such as GPT-4, Claude 3 Opus, and Llama 3 have achieved near–human–level performance on many single-domain benchmarks (Bubeck et al., 2023; Touvron et al., 2023).  Yet, practitioners, educators, and researchers increasingly rely on these systems to answer questions drawn from a wide breadth of disciplines—from molecular biology to macroeconomics.  Early cross-domain evaluations (e.g., MMLU; Hendrycks et al., 2021) reveal steep performance gradients across subjects, indicating that a model’s advertised “general intelligence” can mask critical blind spots that only emerge in less-publicized fields. 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Recent work has begun to investigate discipline-specific capabilities: CS-Bench targets 26 sub-fields of computer science (Song et al., 2024); BrainBench measures neuroscience forecasting accuracy (Luo et al., 2024); and MaScQA probes metallurgical engineering knowledge (Bajan &amp; Lambard, 2025).Bibliography.  However, no empirical study has yet provided a systematic, statistically rigorous comparison of leading LLMs across the full span of </w:t>
      </w:r>
      <w:r w:rsidDel="00000000" w:rsidR="00000000" w:rsidRPr="00000000">
        <w:rPr>
          <w:i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26 academic fields defined by Scopus.  The absence of such evidence leaves universities, enterprises, and government agencies without clear guidance when selecting or governing models for high-stakes, domain-specific tasks.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korfr7b2f3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Statement of the Problem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 problem to be addressed in this study is that current large-language models exhibit uneven and insufficiently quantified knowledge across the 26 major academic fields, and stakeholders lack reliable, field-level rankings to inform critical adoption and governance decisions  </w:t>
      </w:r>
      <w:r w:rsidDel="00000000" w:rsidR="00000000" w:rsidRPr="00000000">
        <w:rPr>
          <w:rtl w:val="0"/>
        </w:rPr>
        <w:t xml:space="preserve"> Preliminary leaderboard data show that GPT-4 can exceed 90% accuracy on business-school exams yet fall below passing thresholds on pharmacist-licensing questions (Wang et al., 2023; Terwiesch, 2023).  Without a statistically validated, cross-field evaluation, organizations risk deploying models that underperform in specialized contexts, potentially compromising research integrity, educational outcomes, and public trust.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1vd0v7mhkxz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Purpose of the Study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 purpose of this quantitative, comparative evaluation study is to rank the domain knowledge of state-of-the-art LLMs across 26 academic fields by administering a balanced corpus of 1,000 multiple-choice items per field and statistically analyzing differences in mean accuracy.</w:t>
      </w:r>
      <w:r w:rsidDel="00000000" w:rsidR="00000000" w:rsidRPr="00000000">
        <w:rPr>
          <w:rtl w:val="0"/>
        </w:rPr>
        <w:t xml:space="preserve"> Results will produce an Elo-style leaderboard (cf. LMSYS Chatbot Arena) that highlights strengths and weaknesses at the field level while controlling for item difficulty and chance performance.  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gwf2futdab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Nature of the Study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between-models quasi-experimental design</w:t>
      </w:r>
      <w:r w:rsidDel="00000000" w:rsidR="00000000" w:rsidRPr="00000000">
        <w:rPr>
          <w:rtl w:val="0"/>
        </w:rPr>
        <w:t xml:space="preserve"> will be employed.  Each model (e.g., GPT-4, Claude 3 Opus, Gemini 1.5 Pro, Llama 3 70 B, Phi-3 mini) will answer the identical 26 × 1,000-item test set under deterministic temperature-0 settings.  Correct answers earn +0.1, incorrect answers –0.1, and “unknown/abstain” 0, mirroring recent best practices for calibrated scoring.  One-way repeated-measures ANOVA followed by Tukey HSD will test field-level performance differences, while Levene’s test will assess homogeneity of variance.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1eify7z8k40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Research Questions and Hypotheses</w:t>
      </w:r>
    </w:p>
    <w:tbl>
      <w:tblPr>
        <w:tblStyle w:val="Table1"/>
        <w:tblW w:w="9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0"/>
        <w:gridCol w:w="4025"/>
        <w:gridCol w:w="2450"/>
        <w:gridCol w:w="2510"/>
        <w:tblGridChange w:id="0">
          <w:tblGrid>
            <w:gridCol w:w="590"/>
            <w:gridCol w:w="4025"/>
            <w:gridCol w:w="2450"/>
            <w:gridCol w:w="25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Research 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Null Hypothesis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(H₀)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(H₁)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Does any LLM exhibit statistically uniform performance across the 26 fields?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Mean scores differ by field for every model.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At least one model’s means do not differ by field.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Do current LLMs differ in mean accuracy when reasoning about specialized academic content?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No difference exists among model means.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 1 model differs from another.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Do alternative validation methods (e.g., bootstrap vs. split-half) yield different reliability estimates for field rankings?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Reliability estimates do not differ by validation method.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At least one method yields a different reliability estimate.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jo92nabgxt7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Conceptual Framework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study is grounded in the </w:t>
      </w:r>
      <w:r w:rsidDel="00000000" w:rsidR="00000000" w:rsidRPr="00000000">
        <w:rPr>
          <w:b w:val="1"/>
          <w:rtl w:val="0"/>
        </w:rPr>
        <w:t xml:space="preserve">Holistic Evaluation of Language Models (HELM) framework</w:t>
      </w:r>
      <w:r w:rsidDel="00000000" w:rsidR="00000000" w:rsidRPr="00000000">
        <w:rPr>
          <w:rtl w:val="0"/>
        </w:rPr>
        <w:t xml:space="preserve"> (Liang et al., 2022), which posits that trustworthy assessment must encompass accuracy, calibration, robustness, and fairness.  Bibliography Our focus on accuracy and robustness across subject domains aligns with HELM’s “scenario × metric” matrix.  Additionally, </w:t>
      </w:r>
      <w:r w:rsidDel="00000000" w:rsidR="00000000" w:rsidRPr="00000000">
        <w:rPr>
          <w:b w:val="1"/>
          <w:rtl w:val="0"/>
        </w:rPr>
        <w:t xml:space="preserve">Cognitive Load Theory</w:t>
      </w:r>
      <w:r w:rsidDel="00000000" w:rsidR="00000000" w:rsidRPr="00000000">
        <w:rPr>
          <w:rtl w:val="0"/>
        </w:rPr>
        <w:t xml:space="preserve"> suggests that domain-specific knowledge retrieval places varying demands on a model’s latent memory (Bommasani et al., 2023), providing a theoretical lens for interpreting inter-field variance.  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tp5av9iso89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Significance of the Study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producing the first </w:t>
      </w:r>
      <w:r w:rsidDel="00000000" w:rsidR="00000000" w:rsidRPr="00000000">
        <w:rPr>
          <w:i w:val="1"/>
          <w:rtl w:val="0"/>
        </w:rPr>
        <w:t xml:space="preserve">field-granular</w:t>
      </w:r>
      <w:r w:rsidDel="00000000" w:rsidR="00000000" w:rsidRPr="00000000">
        <w:rPr>
          <w:rtl w:val="0"/>
        </w:rPr>
        <w:t xml:space="preserve"> leaderboard, the study will: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 scholarship</w:t>
      </w:r>
      <w:r w:rsidDel="00000000" w:rsidR="00000000" w:rsidRPr="00000000">
        <w:rPr>
          <w:rtl w:val="0"/>
        </w:rPr>
        <w:t xml:space="preserve"> by extending single-domain benchmarks (e.g., MMLU) into a comprehensive cross-disciplinary scale.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Guide practitioners</w:t>
      </w:r>
      <w:r w:rsidDel="00000000" w:rsidR="00000000" w:rsidRPr="00000000">
        <w:rPr>
          <w:rtl w:val="0"/>
        </w:rPr>
        <w:t xml:space="preserve">—universities, publishers, and R&amp;D labs—on model selection for subject-matter-expert tasks.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 policy</w:t>
      </w:r>
      <w:r w:rsidDel="00000000" w:rsidR="00000000" w:rsidRPr="00000000">
        <w:rPr>
          <w:rtl w:val="0"/>
        </w:rPr>
        <w:t xml:space="preserve"> by supplying regulators with empirical evidence of domain gaps that could amplify misinformation or inequity (Bommasani et al., 2023).</w:t>
        <w:br w:type="textWrapping"/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y1ql5uxpgnd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Definitions of Key Terms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Elo Ranking.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 rating system that updates a competitor’s score based on pairwise outcomes, adapted here to aggregate win-loss probabilities between LLMs (Originality.ai, 2024).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Large-Language Model (LLM).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neural network with ≥ 1 billion parameters trained on massive text corpora to predict the following tokens and generate coherent language (Brown et al., 2020).Bibliography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MMLU Benchmark.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 57-subject multiple-choice test used to measure multitask language understanding (Hendrycks et al., 2021).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tsxuhfyeh1j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Assumptions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Publicly released model checkpoints evaluated offline behave comparably to proprietary API versions.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Multiple-choice items sampled from prior exams faithfully represent field knowledge distributions.</w:t>
        <w:br w:type="textWrapping"/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7v32vrlj5h3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Scope, Limitations, and Delimitations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The scope</w:t>
      </w:r>
      <w:r w:rsidDel="00000000" w:rsidR="00000000" w:rsidRPr="00000000">
        <w:rPr>
          <w:rtl w:val="0"/>
        </w:rPr>
        <w:t xml:space="preserve"> includes English-language questions at an undergraduate level.  </w:t>
      </w:r>
      <w:r w:rsidDel="00000000" w:rsidR="00000000" w:rsidRPr="00000000">
        <w:rPr>
          <w:i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 involve potential prompt-format bias and exclusion of multimodal reasoning.  </w:t>
      </w:r>
      <w:r w:rsidDel="00000000" w:rsidR="00000000" w:rsidRPr="00000000">
        <w:rPr>
          <w:i w:val="1"/>
          <w:rtl w:val="0"/>
        </w:rPr>
        <w:t xml:space="preserve">Delimitations</w:t>
      </w:r>
      <w:r w:rsidDel="00000000" w:rsidR="00000000" w:rsidRPr="00000000">
        <w:rPr>
          <w:rtl w:val="0"/>
        </w:rPr>
        <w:t xml:space="preserve"> restrict the study to seven widely used transformer-based language models (LLMs) available as of the data collection cut-off (April 2025).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flppf900uoa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Chapter Summary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Chapter 1 introduced the pervasive yet uneven adoption of LLMs and articulated the need for a systematic ranking across 26 academic fields.  The problem, purpose, research questions, and HELM-based framework establish a foundation for the mixed-methodology approach detailed in Chapter 3.  Chapter 2 will now survey prior evaluations of LLM knowledge and identify documented performance gaps at the field level.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References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Bajan, C., &amp; Lambard, G. (2025). Exploring the expertise of large language models in materials science and metallurgical engineering.  </w:t>
      </w:r>
      <w:r w:rsidDel="00000000" w:rsidR="00000000" w:rsidRPr="00000000">
        <w:rPr>
          <w:i w:val="1"/>
          <w:rtl w:val="0"/>
        </w:rPr>
        <w:t xml:space="preserve">Digital Discovery, 4</w:t>
      </w:r>
      <w:r w:rsidDel="00000000" w:rsidR="00000000" w:rsidRPr="00000000">
        <w:rPr>
          <w:rtl w:val="0"/>
        </w:rPr>
        <w:t xml:space="preserve">(4), 500–512.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https://doi.org/10.1039/D4DD00319E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Bommasani, R., Liang, P., &amp; Lee, T. (2023). Holistic evaluation of language models.  </w:t>
      </w:r>
      <w:r w:rsidDel="00000000" w:rsidR="00000000" w:rsidRPr="00000000">
        <w:rPr>
          <w:i w:val="1"/>
          <w:rtl w:val="0"/>
        </w:rPr>
        <w:t xml:space="preserve">Annals of the New York Academy of Sciences, 1525</w:t>
      </w:r>
      <w:r w:rsidDel="00000000" w:rsidR="00000000" w:rsidRPr="00000000">
        <w:rPr>
          <w:rtl w:val="0"/>
        </w:rPr>
        <w:t xml:space="preserve">(1), 140–146  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https://doi.org/10.1111/nyas.15007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Brown, T. B., Mann, B., Ryder, N., Subbiah, M., Kaplan, J., Dhariwal, P., … Amodei, D. (2020. Language models are few-shot learners. </w:t>
      </w:r>
      <w:r w:rsidDel="00000000" w:rsidR="00000000" w:rsidRPr="00000000">
        <w:rPr>
          <w:i w:val="1"/>
          <w:rtl w:val="0"/>
        </w:rPr>
        <w:t xml:space="preserve">Advances in Neural Information Processing Systems, 33</w:t>
      </w:r>
      <w:r w:rsidDel="00000000" w:rsidR="00000000" w:rsidRPr="00000000">
        <w:rPr>
          <w:rtl w:val="0"/>
        </w:rPr>
        <w:t xml:space="preserve">, 1877–1901.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Bubeck, S., Chandrasekaran, V., Eldan, R., Gehrke, J., Horvitz, E., Kamar, E., … Zhang, Y. (2023). </w:t>
      </w:r>
      <w:r w:rsidDel="00000000" w:rsidR="00000000" w:rsidRPr="00000000">
        <w:rPr>
          <w:i w:val="1"/>
          <w:rtl w:val="0"/>
        </w:rPr>
        <w:t xml:space="preserve">Sparks of artificial general intelligence: Early experiments with GPT-4</w:t>
      </w:r>
      <w:r w:rsidDel="00000000" w:rsidR="00000000" w:rsidRPr="00000000">
        <w:rPr>
          <w:rtl w:val="0"/>
        </w:rPr>
        <w:t xml:space="preserve"> (Version 3) [Preprint].  arXiv.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https://arxiv.org/abs/2303.12712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Hendrycks, D., Burns, C., Basart, S., Zou, A., Mazeika, M., Song, D., &amp; Steinhardt, J. (2021).  </w:t>
      </w:r>
      <w:r w:rsidDel="00000000" w:rsidR="00000000" w:rsidRPr="00000000">
        <w:rPr>
          <w:i w:val="1"/>
          <w:rtl w:val="0"/>
        </w:rPr>
        <w:t xml:space="preserve">Measuring massive multitask language understanding</w:t>
      </w:r>
      <w:r w:rsidDel="00000000" w:rsidR="00000000" w:rsidRPr="00000000">
        <w:rPr>
          <w:rtl w:val="0"/>
        </w:rPr>
        <w:t xml:space="preserve"> (Version 2) [Preprint].  arXiv.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https://arxiv.org/abs/2009.03300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Liang, P., Bommasani, R., Lee, T., Tsipras, D., Li, Y., Raghunathan, A., … Hashimoto, T. (2022). </w:t>
      </w:r>
      <w:r w:rsidDel="00000000" w:rsidR="00000000" w:rsidRPr="00000000">
        <w:rPr>
          <w:i w:val="1"/>
          <w:rtl w:val="0"/>
        </w:rPr>
        <w:t xml:space="preserve">Holistic evaluation of language models (HELM)</w:t>
      </w:r>
      <w:r w:rsidDel="00000000" w:rsidR="00000000" w:rsidRPr="00000000">
        <w:rPr>
          <w:rtl w:val="0"/>
        </w:rPr>
        <w:t xml:space="preserve"> [Preprint] arXiv.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https://arxiv.org/abs/2211.09110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Luo, X., Zhang, X., Ren, Z., Li, W., Wang, Y., Zhao, Y., … Kording, K. (2024).  Large language models surpass human experts in predicting neuroscience results.  </w:t>
      </w:r>
      <w:r w:rsidDel="00000000" w:rsidR="00000000" w:rsidRPr="00000000">
        <w:rPr>
          <w:i w:val="1"/>
          <w:rtl w:val="0"/>
        </w:rPr>
        <w:t xml:space="preserve">Nature Human Behaviour, 8</w:t>
      </w:r>
      <w:r w:rsidDel="00000000" w:rsidR="00000000" w:rsidRPr="00000000">
        <w:rPr>
          <w:rtl w:val="0"/>
        </w:rPr>
        <w:t xml:space="preserve">, 675–686.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https://doi.org/10.1038/s41562-024-01683-2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Originality.ai. (2024, March 18).  </w:t>
      </w:r>
      <w:r w:rsidDel="00000000" w:rsidR="00000000" w:rsidRPr="00000000">
        <w:rPr>
          <w:i w:val="1"/>
          <w:rtl w:val="0"/>
        </w:rPr>
        <w:t xml:space="preserve">Top foundational LLM models and organizations</w:t>
      </w:r>
      <w:r w:rsidDel="00000000" w:rsidR="00000000" w:rsidRPr="00000000">
        <w:rPr>
          <w:rtl w:val="0"/>
        </w:rPr>
        <w:t xml:space="preserve">.  https://originality.ai/blog/top-foundational-llm-models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Song, X., Diao, M., Dong, G., Wang, Z., Fu, Y., Qiao, R., … Xu, W. (2024). </w:t>
      </w:r>
      <w:r w:rsidDel="00000000" w:rsidR="00000000" w:rsidRPr="00000000">
        <w:rPr>
          <w:i w:val="1"/>
          <w:rtl w:val="0"/>
        </w:rPr>
        <w:t xml:space="preserve">CS-Bench: A comprehensive benchmark for large language models towards computer-science mastery</w:t>
      </w:r>
      <w:r w:rsidDel="00000000" w:rsidR="00000000" w:rsidRPr="00000000">
        <w:rPr>
          <w:rtl w:val="0"/>
        </w:rPr>
        <w:t xml:space="preserve"> [Preprint].  arXiv  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https://arxiv.org/abs/2406.08587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Terwiesch, C. (2023. </w:t>
      </w:r>
      <w:r w:rsidDel="00000000" w:rsidR="00000000" w:rsidRPr="00000000">
        <w:rPr>
          <w:i w:val="1"/>
          <w:rtl w:val="0"/>
        </w:rPr>
        <w:t xml:space="preserve">Would ChatGPT earn a Wharton MBA? A prediction based on its performance in the operations management course</w:t>
      </w:r>
      <w:r w:rsidDel="00000000" w:rsidR="00000000" w:rsidRPr="00000000">
        <w:rPr>
          <w:rtl w:val="0"/>
        </w:rPr>
        <w:t xml:space="preserve"> [Working paper].  Wharton School of the University of Pennsylvania  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https://doi.org/10.2139/ssrn.4333495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Touvron, H., Lavril, T., Izacard, G., Martinet, X., Lachaux, M. A., Lacroix, T., … Scao, T. L. (2023). </w:t>
      </w:r>
      <w:r w:rsidDel="00000000" w:rsidR="00000000" w:rsidRPr="00000000">
        <w:rPr>
          <w:i w:val="1"/>
          <w:rtl w:val="0"/>
        </w:rPr>
        <w:t xml:space="preserve">LLaMA: Open and efficient foundation language models</w:t>
      </w:r>
      <w:r w:rsidDel="00000000" w:rsidR="00000000" w:rsidRPr="00000000">
        <w:rPr>
          <w:rtl w:val="0"/>
        </w:rPr>
        <w:t xml:space="preserve"> [Preprint. arXiv. 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https://arxiv.org/abs/2302.13971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Wang, Y.-M., Shen, H.-W., &amp; Chen, T.-J. (2023). Performance of ChatGPT on the pharmacist licensing examination in Taiwan.  </w:t>
      </w:r>
      <w:r w:rsidDel="00000000" w:rsidR="00000000" w:rsidRPr="00000000">
        <w:rPr>
          <w:i w:val="1"/>
          <w:rtl w:val="0"/>
        </w:rPr>
        <w:t xml:space="preserve">Journal of the Chinese Medical Association, 86</w:t>
      </w:r>
      <w:r w:rsidDel="00000000" w:rsidR="00000000" w:rsidRPr="00000000">
        <w:rPr>
          <w:rtl w:val="0"/>
        </w:rPr>
        <w:t xml:space="preserve">(7), 653–658. 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https://doi.org/10.1097/JCMA.0000000000000839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xiv.org/abs/2211.09110" TargetMode="External"/><Relationship Id="rId10" Type="http://schemas.openxmlformats.org/officeDocument/2006/relationships/hyperlink" Target="https://arxiv.org/abs/2009.03300" TargetMode="External"/><Relationship Id="rId13" Type="http://schemas.openxmlformats.org/officeDocument/2006/relationships/hyperlink" Target="https://doi.org/10.1038/s41562-024-01683-2" TargetMode="External"/><Relationship Id="rId12" Type="http://schemas.openxmlformats.org/officeDocument/2006/relationships/hyperlink" Target="https://arxiv.org/abs/2211.0911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abs/2303.12712" TargetMode="External"/><Relationship Id="rId15" Type="http://schemas.openxmlformats.org/officeDocument/2006/relationships/hyperlink" Target="https://arxiv.org/abs/2406.08587" TargetMode="External"/><Relationship Id="rId14" Type="http://schemas.openxmlformats.org/officeDocument/2006/relationships/hyperlink" Target="https://arxiv.org/abs/2406.08587" TargetMode="External"/><Relationship Id="rId17" Type="http://schemas.openxmlformats.org/officeDocument/2006/relationships/hyperlink" Target="https://arxiv.org/abs/2302.13971" TargetMode="External"/><Relationship Id="rId16" Type="http://schemas.openxmlformats.org/officeDocument/2006/relationships/hyperlink" Target="https://doi.org/10.2139/ssrn.4333495" TargetMode="External"/><Relationship Id="rId5" Type="http://schemas.openxmlformats.org/officeDocument/2006/relationships/styles" Target="styles.xml"/><Relationship Id="rId6" Type="http://schemas.openxmlformats.org/officeDocument/2006/relationships/hyperlink" Target="https://doi.org/10.1039/D4DD00319E" TargetMode="External"/><Relationship Id="rId18" Type="http://schemas.openxmlformats.org/officeDocument/2006/relationships/hyperlink" Target="https://doi.org/10.1097/JCMA.0000000000000839" TargetMode="External"/><Relationship Id="rId7" Type="http://schemas.openxmlformats.org/officeDocument/2006/relationships/hyperlink" Target="https://doi.org/10.1111/nyas.15007" TargetMode="External"/><Relationship Id="rId8" Type="http://schemas.openxmlformats.org/officeDocument/2006/relationships/hyperlink" Target="https://doi.org/10.1111/nyas.150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