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firstLine="0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Timing Plan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High-Level Overview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Arial" w:cs="Arial" w:eastAsia="Arial" w:hAnsi="Arial"/>
          <w:b w:val="1"/>
          <w:strike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Phase One (Months 1–3): Identifying and Curating Research Questions Across 26 Fields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before="24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Gather abstracts and metadata from OpenAlex.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before="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Use a low-parameter Large Language Model to generate questions for each abstract.</w:t>
      </w:r>
    </w:p>
    <w:p w:rsidR="00000000" w:rsidDel="00000000" w:rsidP="00000000" w:rsidRDefault="00000000" w:rsidRPr="00000000" w14:paraId="00000008">
      <w:pPr>
        <w:pStyle w:val="Heading5"/>
        <w:numPr>
          <w:ilvl w:val="0"/>
          <w:numId w:val="8"/>
        </w:numPr>
        <w:spacing w:after="240" w:line="276" w:lineRule="auto"/>
        <w:ind w:left="720" w:hanging="360"/>
        <w:rPr>
          <w:b w:val="0"/>
          <w:strike w:val="1"/>
        </w:rPr>
      </w:pPr>
      <w:bookmarkStart w:colFirst="0" w:colLast="0" w:name="_ciwuotxyvm7" w:id="0"/>
      <w:bookmarkEnd w:id="0"/>
      <w:r w:rsidDel="00000000" w:rsidR="00000000" w:rsidRPr="00000000">
        <w:rPr>
          <w:b w:val="0"/>
          <w:strike w:val="1"/>
          <w:rtl w:val="0"/>
        </w:rPr>
        <w:t xml:space="preserve">Complete preliminary IRB/ARB requirements.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Phase Two (Months 4–6): Model Selection and Baseline Evaluations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 the choice of LLMs for evaluation.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Conduct initial retrieval-augmented tests and grade results.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Refine rubrics for accuracy, analysis depth, coherence, and adaptability.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Phase Three (Months 7–9): Detailed Statistical and Qualitative Analyses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 inter-rater reliability checks, ANOVA, and confidence intervals.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Gather expert feedback in at least three specialized domains.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Compare the strengths/weaknesses of each LLM across the 26 fields.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Phase Four (Months 10–12): Write-Up, Dissemination, and Final Defense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final dissertation chapters and incorporate feedback.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 final presentation/defense materials.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 final dissertation to Chair and Committee.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34"/>
          <w:szCs w:val="34"/>
        </w:rPr>
      </w:pPr>
      <w:bookmarkStart w:colFirst="0" w:colLast="0" w:name="_i9ddh45rojmw" w:id="1"/>
      <w:bookmarkEnd w:id="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Detailed Timeline (By Weeks and Key Milestones)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Below is a week-by-week (and sometimes month-by-month) breakdown.  The four-phase plan weaves references to common elements, such as drafting and refining chapters, IRB work, continuous literature review, check-ins with the Chair, and final submission steps.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wih3fb5yi3t0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1–2: Initial Setup and ARB/IRB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24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Confirm ARB approval (or finalize any remaining details).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before="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Create a dissertation draft template with proper formatting.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Begin Chapter 1: Introduction.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before="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Refine the Problem Statement, Purpose, and Significance (aligns with your ARB form).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before="24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ARB was officially approved.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2A">
      <w:pPr>
        <w:numPr>
          <w:ilvl w:val="0"/>
          <w:numId w:val="38"/>
        </w:numPr>
        <w:spacing w:after="240" w:before="24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Align tasks with your initial Phase One goal of collecting domain materials.</w:t>
      </w:r>
    </w:p>
    <w:p w:rsidR="00000000" w:rsidDel="00000000" w:rsidP="00000000" w:rsidRDefault="00000000" w:rsidRPr="00000000" w14:paraId="0000002B">
      <w:pPr>
        <w:numPr>
          <w:ilvl w:val="0"/>
          <w:numId w:val="38"/>
        </w:numPr>
        <w:spacing w:after="240" w:before="24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Redefining research questions as requested by ARB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thaih2jkmte6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3–4: Refining Chapter 1 and Curating Abstracts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2F">
      <w:pPr>
        <w:numPr>
          <w:ilvl w:val="0"/>
          <w:numId w:val="31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Incorporate the Chair’s feedback on Chapter 1 (background, problem statement, and significance).</w:t>
      </w:r>
    </w:p>
    <w:p w:rsidR="00000000" w:rsidDel="00000000" w:rsidP="00000000" w:rsidRDefault="00000000" w:rsidRPr="00000000" w14:paraId="00000030">
      <w:pPr>
        <w:numPr>
          <w:ilvl w:val="0"/>
          <w:numId w:val="31"/>
        </w:numPr>
        <w:spacing w:after="0" w:before="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Conduct a comprehensive literature search for the 26 fields.</w:t>
      </w:r>
    </w:p>
    <w:p w:rsidR="00000000" w:rsidDel="00000000" w:rsidP="00000000" w:rsidRDefault="00000000" w:rsidRPr="00000000" w14:paraId="00000031">
      <w:pPr>
        <w:numPr>
          <w:ilvl w:val="0"/>
          <w:numId w:val="31"/>
        </w:numPr>
        <w:spacing w:after="0" w:before="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Begin curating abstracts from OpenAlex, focusing on ensuring domain coverage.</w:t>
      </w:r>
    </w:p>
    <w:p w:rsidR="00000000" w:rsidDel="00000000" w:rsidP="00000000" w:rsidRDefault="00000000" w:rsidRPr="00000000" w14:paraId="00000032">
      <w:pPr>
        <w:numPr>
          <w:ilvl w:val="0"/>
          <w:numId w:val="31"/>
        </w:numPr>
        <w:spacing w:after="240" w:before="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Collaborate with the Chair weekly to confirm readiness for IRB submission.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34">
      <w:pPr>
        <w:numPr>
          <w:ilvl w:val="0"/>
          <w:numId w:val="35"/>
        </w:numPr>
        <w:spacing w:after="0" w:before="24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Chapter 1 updated draft.</w:t>
      </w:r>
    </w:p>
    <w:p w:rsidR="00000000" w:rsidDel="00000000" w:rsidP="00000000" w:rsidRDefault="00000000" w:rsidRPr="00000000" w14:paraId="00000035">
      <w:pPr>
        <w:numPr>
          <w:ilvl w:val="0"/>
          <w:numId w:val="35"/>
        </w:numPr>
        <w:spacing w:after="240" w:before="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The initial set of curated abstracts across at least half of the fields.</w:t>
      </w:r>
    </w:p>
    <w:p w:rsidR="00000000" w:rsidDel="00000000" w:rsidP="00000000" w:rsidRDefault="00000000" w:rsidRPr="00000000" w14:paraId="00000036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m67c9ugthtm1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5–6: Finalizing IRB and Starting Chapter 2 (Literature Review)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39">
      <w:pPr>
        <w:numPr>
          <w:ilvl w:val="0"/>
          <w:numId w:val="26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 IRB submission and incorporate any final suggestions from the Chair.</w:t>
      </w:r>
    </w:p>
    <w:p w:rsidR="00000000" w:rsidDel="00000000" w:rsidP="00000000" w:rsidRDefault="00000000" w:rsidRPr="00000000" w14:paraId="0000003A">
      <w:pPr>
        <w:numPr>
          <w:ilvl w:val="0"/>
          <w:numId w:val="26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Chapter 2: Literature Review, synthesizing domain-specific knowledge from all 26 fields.</w:t>
      </w:r>
    </w:p>
    <w:p w:rsidR="00000000" w:rsidDel="00000000" w:rsidP="00000000" w:rsidRDefault="00000000" w:rsidRPr="00000000" w14:paraId="0000003B">
      <w:pPr>
        <w:numPr>
          <w:ilvl w:val="0"/>
          <w:numId w:val="26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Identify potential “challenging” fields where subject-matter expert feedback will be crucial.</w:t>
      </w:r>
    </w:p>
    <w:p w:rsidR="00000000" w:rsidDel="00000000" w:rsidP="00000000" w:rsidRDefault="00000000" w:rsidRPr="00000000" w14:paraId="0000003C">
      <w:pPr>
        <w:numPr>
          <w:ilvl w:val="0"/>
          <w:numId w:val="26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or refine your conceptual framework sections (accuracy, coherence, adaptability, domain knowledge).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3E">
      <w:pPr>
        <w:numPr>
          <w:ilvl w:val="0"/>
          <w:numId w:val="36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IRB submitted.</w:t>
      </w:r>
    </w:p>
    <w:p w:rsidR="00000000" w:rsidDel="00000000" w:rsidP="00000000" w:rsidRDefault="00000000" w:rsidRPr="00000000" w14:paraId="0000003F">
      <w:pPr>
        <w:numPr>
          <w:ilvl w:val="0"/>
          <w:numId w:val="36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Chapter 2 outline (themes, subheadings for each domain) created.</w:t>
      </w:r>
    </w:p>
    <w:p w:rsidR="00000000" w:rsidDel="00000000" w:rsidP="00000000" w:rsidRDefault="00000000" w:rsidRPr="00000000" w14:paraId="00000040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msm4wl58p2rt" w:id="5"/>
      <w:bookmarkEnd w:id="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7–8: Gathering and Annotating Domain Knowledge</w:t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Analyze each curated abstract systematically; produce at least one question per abstract via the low-parameter LLM (Phase One core activity).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writing key sections of Chapter 2 with a deeper focus on domain knowledge.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Continue meeting with the Chair for feedback.</w:t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Completed a set of domain-specific questions in multiple fields.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segments in Chapter 2 for each significant domain theme.</w:t>
      </w:r>
    </w:p>
    <w:p w:rsidR="00000000" w:rsidDel="00000000" w:rsidP="00000000" w:rsidRDefault="00000000" w:rsidRPr="00000000" w14:paraId="00000049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991a50sw8fqj" w:id="6"/>
      <w:bookmarkEnd w:id="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9–10: Transition to Phase Two — Model Selection &amp; Baseline Testing</w:t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 the roster of LLMs to be tested.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 the evaluation rubrics and pilot them in a small subset of domains.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IRB feedback is back, address any requested revisions.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writing about your methodology (Chapter 3) to capture the planned LLM comparison approach.</w:t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IRB approval in hand (if revisions are needed).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Shortlist of LLMs, rubrics, and pilot test results in 1–3 domains.</w:t>
      </w:r>
    </w:p>
    <w:p w:rsidR="00000000" w:rsidDel="00000000" w:rsidP="00000000" w:rsidRDefault="00000000" w:rsidRPr="00000000" w14:paraId="00000053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db70a1ebr3vo" w:id="7"/>
      <w:bookmarkEnd w:id="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11–12: Conducting Baseline Evaluations</w:t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Evaluate LLMs with the curated domain-specific questions.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Collect quantitative/qualitative data on correctness, depth of analysis, and clarity.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the “Methods” section fully (Chapter 3).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Continuously refine the pilot approach based on any IRB constraints.</w:t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5B">
      <w:pPr>
        <w:numPr>
          <w:ilvl w:val="0"/>
          <w:numId w:val="24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Completion of baseline scoring in a few domains.</w:t>
      </w:r>
    </w:p>
    <w:p w:rsidR="00000000" w:rsidDel="00000000" w:rsidP="00000000" w:rsidRDefault="00000000" w:rsidRPr="00000000" w14:paraId="0000005C">
      <w:pPr>
        <w:numPr>
          <w:ilvl w:val="0"/>
          <w:numId w:val="24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Chapter 3 first draft (experiment setup, data gathering plan, reliability checks).</w:t>
      </w:r>
    </w:p>
    <w:p w:rsidR="00000000" w:rsidDel="00000000" w:rsidP="00000000" w:rsidRDefault="00000000" w:rsidRPr="00000000" w14:paraId="0000005D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23zvtck94p1y" w:id="8"/>
      <w:bookmarkEnd w:id="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13–14: Deepen Literature Review and Prepare for Statistical Analysis</w:t>
      </w:r>
    </w:p>
    <w:p w:rsidR="00000000" w:rsidDel="00000000" w:rsidP="00000000" w:rsidRDefault="00000000" w:rsidRPr="00000000" w14:paraId="0000005F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Continue refining Chapter 2.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verifying the approach to inter-rater reliability, ANOVA, and confidence interval calculations.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Ensure data collection and annotation processes are consistent.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with subject-matter experts for initial feedback in at least one domain.</w:t>
      </w:r>
    </w:p>
    <w:p w:rsidR="00000000" w:rsidDel="00000000" w:rsidP="00000000" w:rsidRDefault="00000000" w:rsidRPr="00000000" w14:paraId="00000064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Substantial progress in Chapter 2 so that it aligns with the newly emerging methodology.</w:t>
      </w:r>
    </w:p>
    <w:p w:rsidR="00000000" w:rsidDel="00000000" w:rsidP="00000000" w:rsidRDefault="00000000" w:rsidRPr="00000000" w14:paraId="00000066">
      <w:pPr>
        <w:numPr>
          <w:ilvl w:val="0"/>
          <w:numId w:val="27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Defined a statistical approach for your final Phase Three analyses.</w:t>
      </w:r>
    </w:p>
    <w:p w:rsidR="00000000" w:rsidDel="00000000" w:rsidP="00000000" w:rsidRDefault="00000000" w:rsidRPr="00000000" w14:paraId="00000067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ut2d38iacf7s" w:id="9"/>
      <w:bookmarkEnd w:id="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15–16: Wrapping Up Semester Milestones</w:t>
      </w:r>
    </w:p>
    <w:p w:rsidR="00000000" w:rsidDel="00000000" w:rsidP="00000000" w:rsidRDefault="00000000" w:rsidRPr="00000000" w14:paraId="00000069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6A">
      <w:pPr>
        <w:numPr>
          <w:ilvl w:val="0"/>
          <w:numId w:val="32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your program uses semester deliverables, please submit updated Chapters 1 and 2, plus a partial Chapter 3, to the Chair or committee.</w:t>
      </w:r>
    </w:p>
    <w:p w:rsidR="00000000" w:rsidDel="00000000" w:rsidP="00000000" w:rsidRDefault="00000000" w:rsidRPr="00000000" w14:paraId="0000006B">
      <w:pPr>
        <w:numPr>
          <w:ilvl w:val="0"/>
          <w:numId w:val="32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Revisit or finalize additional references (aiming for 50–60 total).</w:t>
      </w:r>
    </w:p>
    <w:p w:rsidR="00000000" w:rsidDel="00000000" w:rsidP="00000000" w:rsidRDefault="00000000" w:rsidRPr="00000000" w14:paraId="0000006C">
      <w:pPr>
        <w:numPr>
          <w:ilvl w:val="0"/>
          <w:numId w:val="32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Refine any IRB or logistical updates.</w:t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6E">
      <w:pPr>
        <w:numPr>
          <w:ilvl w:val="0"/>
          <w:numId w:val="33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Chair's acceptance of Chapters 1–2.</w:t>
      </w:r>
    </w:p>
    <w:p w:rsidR="00000000" w:rsidDel="00000000" w:rsidP="00000000" w:rsidRDefault="00000000" w:rsidRPr="00000000" w14:paraId="0000006F">
      <w:pPr>
        <w:numPr>
          <w:ilvl w:val="0"/>
          <w:numId w:val="33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Confirmation that IRB protocols are stable and data collection is authorized.</w:t>
      </w:r>
    </w:p>
    <w:p w:rsidR="00000000" w:rsidDel="00000000" w:rsidP="00000000" w:rsidRDefault="00000000" w:rsidRPr="00000000" w14:paraId="00000070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34"/>
          <w:szCs w:val="34"/>
        </w:rPr>
      </w:pPr>
      <w:bookmarkStart w:colFirst="0" w:colLast="0" w:name="_929wlh4xihfx" w:id="10"/>
      <w:bookmarkEnd w:id="1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Months 5–6 (Weeks 17–24): Phase Two Continues — Full LLM Evaluations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5oz50isppcc1" w:id="11"/>
      <w:bookmarkEnd w:id="1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17–20: Full-Scale Data Collection</w:t>
      </w:r>
    </w:p>
    <w:p w:rsidR="00000000" w:rsidDel="00000000" w:rsidP="00000000" w:rsidRDefault="00000000" w:rsidRPr="00000000" w14:paraId="00000073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Execute the final set of evaluations across all 26 fields.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Collect detailed results (true/false/possibly true/possibly false).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Ensure thorough data logging for later statistical analysis.</w:t>
      </w:r>
    </w:p>
    <w:p w:rsidR="00000000" w:rsidDel="00000000" w:rsidP="00000000" w:rsidRDefault="00000000" w:rsidRPr="00000000" w14:paraId="00000077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Dataset of LLM responses with preliminary scoring.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Ongoing weekly Chair check-ins.</w:t>
      </w:r>
    </w:p>
    <w:p w:rsidR="00000000" w:rsidDel="00000000" w:rsidP="00000000" w:rsidRDefault="00000000" w:rsidRPr="00000000" w14:paraId="0000007A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7i6ummyf8h35" w:id="12"/>
      <w:bookmarkEnd w:id="1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21–24: Finalizing Chapter 3 and Preliminary Results (Chapter 4)</w:t>
      </w:r>
    </w:p>
    <w:p w:rsidR="00000000" w:rsidDel="00000000" w:rsidP="00000000" w:rsidRDefault="00000000" w:rsidRPr="00000000" w14:paraId="0000007C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7D">
      <w:pPr>
        <w:numPr>
          <w:ilvl w:val="0"/>
          <w:numId w:val="25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 methodology text (Chapter 3).</w:t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drafting Chapter 4, focusing on raw results.</w:t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 or conduct advanced reliability tests (Miller, 2024) to see if multiple scorers align.</w:t>
      </w:r>
    </w:p>
    <w:p w:rsidR="00000000" w:rsidDel="00000000" w:rsidP="00000000" w:rsidRDefault="00000000" w:rsidRPr="00000000" w14:paraId="00000080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of Chapter 4 with initial results.</w:t>
      </w:r>
    </w:p>
    <w:p w:rsidR="00000000" w:rsidDel="00000000" w:rsidP="00000000" w:rsidRDefault="00000000" w:rsidRPr="00000000" w14:paraId="00000082">
      <w:pPr>
        <w:numPr>
          <w:ilvl w:val="0"/>
          <w:numId w:val="23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Full dataset ready for statistical Phase Three.</w:t>
      </w:r>
    </w:p>
    <w:p w:rsidR="00000000" w:rsidDel="00000000" w:rsidP="00000000" w:rsidRDefault="00000000" w:rsidRPr="00000000" w14:paraId="00000083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34"/>
          <w:szCs w:val="34"/>
        </w:rPr>
      </w:pPr>
      <w:bookmarkStart w:colFirst="0" w:colLast="0" w:name="_cqp2m85tpyz8" w:id="13"/>
      <w:bookmarkEnd w:id="13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Months 7–9 (Weeks 25–36): Phase Three — Detailed Statistical and Qualitative Analyses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kxv6qa7vs3z9" w:id="14"/>
      <w:bookmarkEnd w:id="1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25–28: Statistical Analysis and Expert Feedback</w:t>
      </w:r>
    </w:p>
    <w:p w:rsidR="00000000" w:rsidDel="00000000" w:rsidP="00000000" w:rsidRDefault="00000000" w:rsidRPr="00000000" w14:paraId="00000086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Apply ANOVA or alternative tests to detect variation across domains.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Calculate confidence intervals to measure inter-rater reliability.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Solicit domain experts’ input in at least three challenging fields.</w:t>
      </w:r>
    </w:p>
    <w:p w:rsidR="00000000" w:rsidDel="00000000" w:rsidP="00000000" w:rsidRDefault="00000000" w:rsidRPr="00000000" w14:paraId="0000008A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Preliminary findings on which models excel in each field.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Integration of expert commentary.</w:t>
      </w:r>
    </w:p>
    <w:p w:rsidR="00000000" w:rsidDel="00000000" w:rsidP="00000000" w:rsidRDefault="00000000" w:rsidRPr="00000000" w14:paraId="0000008D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j6n7aqruu1qq" w:id="15"/>
      <w:bookmarkEnd w:id="1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29–32: Interpretation and Chapter 4 Refinement</w:t>
      </w:r>
    </w:p>
    <w:p w:rsidR="00000000" w:rsidDel="00000000" w:rsidP="00000000" w:rsidRDefault="00000000" w:rsidRPr="00000000" w14:paraId="0000008F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Refine Chapter 4 with a thorough statistical breakdown.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the results to your conceptual framework to start bridging into the discussion portion (Chapter 5).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Cross-check results with prior research (Ngo et al., 2024; Cai et al., 2024).</w:t>
      </w:r>
    </w:p>
    <w:p w:rsidR="00000000" w:rsidDel="00000000" w:rsidP="00000000" w:rsidRDefault="00000000" w:rsidRPr="00000000" w14:paraId="00000093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94">
      <w:pPr>
        <w:numPr>
          <w:ilvl w:val="0"/>
          <w:numId w:val="29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Polished set of tables/figures illustrating how LLMs differ across fields.</w:t>
      </w:r>
    </w:p>
    <w:p w:rsidR="00000000" w:rsidDel="00000000" w:rsidP="00000000" w:rsidRDefault="00000000" w:rsidRPr="00000000" w14:paraId="00000095">
      <w:pPr>
        <w:numPr>
          <w:ilvl w:val="0"/>
          <w:numId w:val="29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Preliminary discussion paragraphs are in place.</w:t>
      </w:r>
    </w:p>
    <w:p w:rsidR="00000000" w:rsidDel="00000000" w:rsidP="00000000" w:rsidRDefault="00000000" w:rsidRPr="00000000" w14:paraId="00000096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8m32plflnhsu" w:id="16"/>
      <w:bookmarkEnd w:id="1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33–36: Drafting Chapter 5 (Findings, Recommendations)</w:t>
      </w:r>
    </w:p>
    <w:p w:rsidR="00000000" w:rsidDel="00000000" w:rsidP="00000000" w:rsidRDefault="00000000" w:rsidRPr="00000000" w14:paraId="00000098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Chapter 5 focusing on: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Comparison to prior literature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Practical applications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Limitations and future research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Incorporate advanced statistical notes.</w:t>
      </w:r>
    </w:p>
    <w:p w:rsidR="00000000" w:rsidDel="00000000" w:rsidP="00000000" w:rsidRDefault="00000000" w:rsidRPr="00000000" w14:paraId="0000009E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9F">
      <w:pPr>
        <w:numPr>
          <w:ilvl w:val="0"/>
          <w:numId w:val="37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Substantial draft of Chapter 5.</w:t>
      </w:r>
    </w:p>
    <w:p w:rsidR="00000000" w:rsidDel="00000000" w:rsidP="00000000" w:rsidRDefault="00000000" w:rsidRPr="00000000" w14:paraId="000000A0">
      <w:pPr>
        <w:numPr>
          <w:ilvl w:val="0"/>
          <w:numId w:val="37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a clear demonstration of how your dissertation addresses the identified knowledge gap.</w:t>
      </w:r>
    </w:p>
    <w:p w:rsidR="00000000" w:rsidDel="00000000" w:rsidP="00000000" w:rsidRDefault="00000000" w:rsidRPr="00000000" w14:paraId="000000A1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34"/>
          <w:szCs w:val="34"/>
        </w:rPr>
      </w:pPr>
      <w:bookmarkStart w:colFirst="0" w:colLast="0" w:name="_f78j72cl01x" w:id="17"/>
      <w:bookmarkEnd w:id="17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Months 10–12 (Weeks 37–48): Phase Four — Write-Up, Defense, and Final Submission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15fjky7mo7s3" w:id="18"/>
      <w:bookmarkEnd w:id="1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37–40: Integrating All Chapters</w:t>
      </w:r>
    </w:p>
    <w:p w:rsidR="00000000" w:rsidDel="00000000" w:rsidP="00000000" w:rsidRDefault="00000000" w:rsidRPr="00000000" w14:paraId="000000A4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A5">
      <w:pPr>
        <w:numPr>
          <w:ilvl w:val="0"/>
          <w:numId w:val="34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Combine Chapters 1–5 into one cohesive document.</w:t>
      </w:r>
    </w:p>
    <w:p w:rsidR="00000000" w:rsidDel="00000000" w:rsidP="00000000" w:rsidRDefault="00000000" w:rsidRPr="00000000" w14:paraId="000000A6">
      <w:pPr>
        <w:numPr>
          <w:ilvl w:val="0"/>
          <w:numId w:val="34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Revisit definitions, assumptions, and delimitations to ensure internal consistency.</w:t>
      </w:r>
    </w:p>
    <w:p w:rsidR="00000000" w:rsidDel="00000000" w:rsidP="00000000" w:rsidRDefault="00000000" w:rsidRPr="00000000" w14:paraId="000000A7">
      <w:pPr>
        <w:numPr>
          <w:ilvl w:val="0"/>
          <w:numId w:val="34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Ensure references are correctly cited.</w:t>
      </w:r>
    </w:p>
    <w:p w:rsidR="00000000" w:rsidDel="00000000" w:rsidP="00000000" w:rsidRDefault="00000000" w:rsidRPr="00000000" w14:paraId="000000A8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 dissertation draft assembled.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 to the Chair for a round of revisions.</w:t>
      </w:r>
    </w:p>
    <w:p w:rsidR="00000000" w:rsidDel="00000000" w:rsidP="00000000" w:rsidRDefault="00000000" w:rsidRPr="00000000" w14:paraId="000000AB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32lx80acmb8z" w:id="19"/>
      <w:bookmarkEnd w:id="1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41–44: Revision Rounds and Committee Feedback</w:t>
      </w:r>
    </w:p>
    <w:p w:rsidR="00000000" w:rsidDel="00000000" w:rsidP="00000000" w:rsidRDefault="00000000" w:rsidRPr="00000000" w14:paraId="000000AD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AE">
      <w:pPr>
        <w:numPr>
          <w:ilvl w:val="0"/>
          <w:numId w:val="30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Incorporate Chair and Committee feedback.</w:t>
      </w:r>
    </w:p>
    <w:p w:rsidR="00000000" w:rsidDel="00000000" w:rsidP="00000000" w:rsidRDefault="00000000" w:rsidRPr="00000000" w14:paraId="000000AF">
      <w:pPr>
        <w:numPr>
          <w:ilvl w:val="0"/>
          <w:numId w:val="30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Make final improvements to methodology, results presentation, or references.</w:t>
      </w:r>
    </w:p>
    <w:p w:rsidR="00000000" w:rsidDel="00000000" w:rsidP="00000000" w:rsidRDefault="00000000" w:rsidRPr="00000000" w14:paraId="000000B0">
      <w:pPr>
        <w:numPr>
          <w:ilvl w:val="0"/>
          <w:numId w:val="30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 IRB closure documents if applicable.</w:t>
      </w:r>
    </w:p>
    <w:p w:rsidR="00000000" w:rsidDel="00000000" w:rsidP="00000000" w:rsidRDefault="00000000" w:rsidRPr="00000000" w14:paraId="000000B1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Committee sign-off on the near-final dissertation.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Approval to schedule the final defense.</w:t>
      </w:r>
    </w:p>
    <w:p w:rsidR="00000000" w:rsidDel="00000000" w:rsidP="00000000" w:rsidRDefault="00000000" w:rsidRPr="00000000" w14:paraId="000000B4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kjgvmhybket0" w:id="20"/>
      <w:bookmarkEnd w:id="2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45–48: Final Defense and Submission</w:t>
      </w:r>
    </w:p>
    <w:p w:rsidR="00000000" w:rsidDel="00000000" w:rsidP="00000000" w:rsidRDefault="00000000" w:rsidRPr="00000000" w14:paraId="000000B6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B7">
      <w:pPr>
        <w:numPr>
          <w:ilvl w:val="0"/>
          <w:numId w:val="28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 an oral defense presentation.</w:t>
      </w:r>
    </w:p>
    <w:p w:rsidR="00000000" w:rsidDel="00000000" w:rsidP="00000000" w:rsidRDefault="00000000" w:rsidRPr="00000000" w14:paraId="000000B8">
      <w:pPr>
        <w:numPr>
          <w:ilvl w:val="0"/>
          <w:numId w:val="28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Rehearse and refine slides, figures, and arguments.</w:t>
      </w:r>
    </w:p>
    <w:p w:rsidR="00000000" w:rsidDel="00000000" w:rsidP="00000000" w:rsidRDefault="00000000" w:rsidRPr="00000000" w14:paraId="000000B9">
      <w:pPr>
        <w:numPr>
          <w:ilvl w:val="0"/>
          <w:numId w:val="28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Conduct dissertation defense.</w:t>
      </w:r>
    </w:p>
    <w:p w:rsidR="00000000" w:rsidDel="00000000" w:rsidP="00000000" w:rsidRDefault="00000000" w:rsidRPr="00000000" w14:paraId="000000BA">
      <w:pPr>
        <w:numPr>
          <w:ilvl w:val="0"/>
          <w:numId w:val="28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Address any post-defense editorial changes.</w:t>
      </w:r>
    </w:p>
    <w:p w:rsidR="00000000" w:rsidDel="00000000" w:rsidP="00000000" w:rsidRDefault="00000000" w:rsidRPr="00000000" w14:paraId="000000BB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Successful defense.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 submission of the dissertation to the university repository.</w:t>
        <w:br w:type="textWrapping"/>
      </w:r>
    </w:p>
    <w:p w:rsidR="00000000" w:rsidDel="00000000" w:rsidP="00000000" w:rsidRDefault="00000000" w:rsidRPr="00000000" w14:paraId="000000BE">
      <w:pPr>
        <w:spacing w:after="240" w:before="24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34"/>
          <w:szCs w:val="34"/>
        </w:rPr>
      </w:pPr>
      <w:bookmarkStart w:colFirst="0" w:colLast="0" w:name="_78pfttaj8mu7" w:id="21"/>
      <w:bookmarkEnd w:id="2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Continuous Tasks (Throughout the Year)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Weekly or Bi-Weekly Check-Ins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Maintain regular Zoom or phone calls with your Chair.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 Management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Continuously update and annotate references.</w:t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Ongoing Literature Review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Keep up with new publications or relevant sources that emerge over the year.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 Iteration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Routinely refine chapters, completing tasks from your weekly “To Do” checklists.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Backup and Version Control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Maintain a safe backup of your data, drafts, and references.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jc w:val="center"/>
      <w:rPr>
        <w:rFonts w:ascii="Roboto Light" w:cs="Roboto Light" w:eastAsia="Roboto Light" w:hAnsi="Roboto Light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-647698</wp:posOffset>
              </wp:positionH>
              <wp:positionV relativeFrom="paragraph">
                <wp:posOffset>101600</wp:posOffset>
              </wp:positionV>
              <wp:extent cx="8172674" cy="762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285063" y="3780000"/>
                        <a:ext cx="8121874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D6242E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-647698</wp:posOffset>
              </wp:positionH>
              <wp:positionV relativeFrom="paragraph">
                <wp:posOffset>101600</wp:posOffset>
              </wp:positionV>
              <wp:extent cx="8172674" cy="762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72674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9">
    <w:pPr>
      <w:jc w:val="center"/>
      <w:rPr>
        <w:rFonts w:ascii="Roboto Light" w:cs="Roboto Light" w:eastAsia="Roboto Light" w:hAnsi="Roboto Light"/>
        <w:sz w:val="21"/>
        <w:szCs w:val="21"/>
      </w:rPr>
    </w:pPr>
    <w:r w:rsidDel="00000000" w:rsidR="00000000" w:rsidRPr="00000000">
      <w:rPr>
        <w:rFonts w:ascii="Roboto Light" w:cs="Roboto Light" w:eastAsia="Roboto Light" w:hAnsi="Roboto Light"/>
        <w:b w:val="1"/>
        <w:sz w:val="24"/>
        <w:szCs w:val="24"/>
        <w:rtl w:val="0"/>
      </w:rPr>
      <w:t xml:space="preserve">11301 Springfield Road Laurel, MD 20708</w:t>
    </w:r>
    <w:r w:rsidDel="00000000" w:rsidR="00000000" w:rsidRPr="00000000">
      <w:rPr>
        <w:rFonts w:ascii="Roboto Light" w:cs="Roboto Light" w:eastAsia="Roboto Light" w:hAnsi="Roboto Light"/>
        <w:sz w:val="24"/>
        <w:szCs w:val="24"/>
        <w:rtl w:val="0"/>
      </w:rPr>
      <w:t xml:space="preserve"> | </w:t>
    </w:r>
    <w:r w:rsidDel="00000000" w:rsidR="00000000" w:rsidRPr="00000000">
      <w:rPr>
        <w:rFonts w:ascii="Roboto Light" w:cs="Roboto Light" w:eastAsia="Roboto Light" w:hAnsi="Roboto Light"/>
        <w:b w:val="1"/>
        <w:sz w:val="24"/>
        <w:szCs w:val="24"/>
        <w:rtl w:val="0"/>
      </w:rPr>
      <w:t xml:space="preserve">www.captechu.edu </w:t>
    </w:r>
    <w:r w:rsidDel="00000000" w:rsidR="00000000" w:rsidRPr="00000000">
      <w:rPr>
        <w:rFonts w:ascii="Roboto Light" w:cs="Roboto Light" w:eastAsia="Roboto Light" w:hAnsi="Roboto Light"/>
        <w:sz w:val="24"/>
        <w:szCs w:val="24"/>
        <w:rtl w:val="0"/>
      </w:rPr>
      <w:t xml:space="preserve">| Call </w:t>
    </w:r>
    <w:r w:rsidDel="00000000" w:rsidR="00000000" w:rsidRPr="00000000">
      <w:rPr>
        <w:rFonts w:ascii="Roboto Light" w:cs="Roboto Light" w:eastAsia="Roboto Light" w:hAnsi="Roboto Light"/>
        <w:b w:val="1"/>
        <w:color w:val="000000"/>
        <w:sz w:val="24"/>
        <w:szCs w:val="24"/>
        <w:highlight w:val="white"/>
        <w:rtl w:val="0"/>
      </w:rPr>
      <w:t xml:space="preserve">800.950.1992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-467357</wp:posOffset>
          </wp:positionH>
          <wp:positionV relativeFrom="paragraph">
            <wp:posOffset>-457196</wp:posOffset>
          </wp:positionV>
          <wp:extent cx="6858000" cy="1043940"/>
          <wp:effectExtent b="0" l="0" r="0" t="0"/>
          <wp:wrapSquare wrapText="bothSides" distB="0" distT="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0" cy="10439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Light-regular.ttf"/><Relationship Id="rId4" Type="http://schemas.openxmlformats.org/officeDocument/2006/relationships/font" Target="fonts/RobotoLight-bold.ttf"/><Relationship Id="rId5" Type="http://schemas.openxmlformats.org/officeDocument/2006/relationships/font" Target="fonts/RobotoLight-italic.ttf"/><Relationship Id="rId6" Type="http://schemas.openxmlformats.org/officeDocument/2006/relationships/font" Target="fonts/Roboto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0x01010020DE279D9384F14588AE2DE07EF1B9B4</vt:lpwstr>
  </property>
  <property fmtid="{D5CDD505-2E9C-101B-9397-08002B2CF9AE}" pid="3" name="Order">
    <vt:lpwstr>1390900</vt:lpwstr>
  </property>
  <property fmtid="{D5CDD505-2E9C-101B-9397-08002B2CF9AE}" pid="4" name="xd_Signature">
    <vt:lpwstr>false</vt:lpwstr>
  </property>
  <property fmtid="{D5CDD505-2E9C-101B-9397-08002B2CF9AE}" pid="5" name="SharedWithUsers">
    <vt:lpwstr>486;#Terrell Moore</vt:lpwstr>
  </property>
  <property fmtid="{D5CDD505-2E9C-101B-9397-08002B2CF9AE}" pid="6" name="xd_ProgID">
    <vt:lpwstr>xd_ProgID</vt:lpwstr>
  </property>
  <property fmtid="{D5CDD505-2E9C-101B-9397-08002B2CF9AE}" pid="7" name="_SourceUrl">
    <vt:lpwstr>_SourceUrl</vt:lpwstr>
  </property>
  <property fmtid="{D5CDD505-2E9C-101B-9397-08002B2CF9AE}" pid="8" name="_SharedFileIndex">
    <vt:lpwstr>_SharedFileIndex</vt:lpwstr>
  </property>
  <property fmtid="{D5CDD505-2E9C-101B-9397-08002B2CF9AE}" pid="9" name="ComplianceAssetId">
    <vt:lpwstr>ComplianceAssetId</vt:lpwstr>
  </property>
  <property fmtid="{D5CDD505-2E9C-101B-9397-08002B2CF9AE}" pid="10" name="TemplateUrl">
    <vt:lpwstr>TemplateUrl</vt:lpwstr>
  </property>
  <property fmtid="{D5CDD505-2E9C-101B-9397-08002B2CF9AE}" pid="11" name="_ExtendedDescription">
    <vt:lpwstr>_ExtendedDescription</vt:lpwstr>
  </property>
  <property fmtid="{D5CDD505-2E9C-101B-9397-08002B2CF9AE}" pid="12" name="TriggerFlowInfo">
    <vt:lpwstr>TriggerFlowInfo</vt:lpwstr>
  </property>
  <property fmtid="{D5CDD505-2E9C-101B-9397-08002B2CF9AE}" pid="13" name="MediaServiceImageTags">
    <vt:lpwstr>MediaServiceImageTags</vt:lpwstr>
  </property>
</Properties>
</file>