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jc w:val="center"/>
      </w:pPr>
      <w:r>
        <w:rPr>
          <w:rFonts w:ascii="Arial" w:cs="Arial" w:eastAsia="Arial" w:hAnsi="Arial"/>
          <w:b/>
          <w:bCs/>
          <w:color w:val="0A1628"/>
          <w:sz w:val="40"/>
          <w:szCs w:val="40"/>
        </w:rPr>
        <w:t xml:space="preserve">VANTARA CAPITAL PARTNERS</w:t>
      </w:r>
    </w:p>
    <w:p>
      <w:pPr>
        <w:spacing w:after="60"/>
        <w:jc w:val="center"/>
      </w:pPr>
      <w:r>
        <w:rPr>
          <w:rFonts w:ascii="Arial" w:cs="Arial" w:eastAsia="Arial" w:hAnsi="Arial"/>
          <w:color w:val="475569"/>
          <w:sz w:val="26"/>
          <w:szCs w:val="26"/>
        </w:rPr>
        <w:t xml:space="preserve">Fund I, L.P.</w:t>
      </w:r>
    </w:p>
    <w:p>
      <w:pPr>
        <w:pBdr>
          <w:bottom w:val="single" w:color="B8860B" w:sz="8"/>
        </w:pBdr>
        <w:spacing w:after="60" w:before="60"/>
      </w:pPr>
      <w:r>
        <w:t xml:space="preserve"/>
      </w:r>
    </w:p>
    <w:p>
      <w:pPr>
        <w:spacing w:after="400" w:before="400"/>
      </w:pPr>
      <w:r>
        <w:t xml:space="preserve"/>
      </w:r>
    </w:p>
    <w:p>
      <w:pPr>
        <w:spacing w:after="120" w:before="120"/>
        <w:jc w:val="center"/>
      </w:pPr>
      <w:r>
        <w:rPr>
          <w:rFonts w:ascii="Arial" w:cs="Arial" w:eastAsia="Arial" w:hAnsi="Arial"/>
          <w:b/>
          <w:bCs/>
          <w:color w:val="0A1628"/>
          <w:sz w:val="48"/>
          <w:szCs w:val="48"/>
        </w:rPr>
        <w:t xml:space="preserve">LIMITED PARTNERSHIP AGREEMENT</w:t>
      </w:r>
    </w:p>
    <w:p>
      <w:pPr>
        <w:spacing w:after="60"/>
        <w:jc w:val="center"/>
      </w:pPr>
      <w:r>
        <w:rPr>
          <w:rFonts w:ascii="Arial" w:cs="Arial" w:eastAsia="Arial" w:hAnsi="Arial"/>
          <w:i/>
          <w:iCs/>
          <w:color w:val="475569"/>
          <w:sz w:val="26"/>
          <w:szCs w:val="26"/>
        </w:rPr>
        <w:t xml:space="preserve">Vantara Capital Partners Fund I, L.P.</w:t>
      </w:r>
    </w:p>
    <w:p>
      <w:pPr>
        <w:spacing w:after="400" w:before="400"/>
      </w:pPr>
      <w:r>
        <w:t xml:space="preserve"/>
      </w:r>
    </w:p>
    <w:p>
      <w:pPr>
        <w:jc w:val="center"/>
      </w:pPr>
      <w:r>
        <w:rPr>
          <w:rFonts w:ascii="Arial" w:cs="Arial" w:eastAsia="Arial" w:hAnsi="Arial"/>
          <w:color w:val="475569"/>
          <w:sz w:val="22"/>
          <w:szCs w:val="22"/>
        </w:rPr>
        <w:t xml:space="preserve">Version 1.0  |  April 15, 2026</w:t>
      </w:r>
    </w:p>
    <w:p>
      <w:pPr>
        <w:spacing w:after="600" w:before="600"/>
      </w:pPr>
      <w:r>
        <w:t xml:space="preserve"/>
      </w:r>
    </w:p>
    <w:p>
      <w:pPr>
        <w:jc w:val="center"/>
      </w:pPr>
      <w:r>
        <w:rPr>
          <w:rFonts w:ascii="Arial" w:cs="Arial" w:eastAsia="Arial" w:hAnsi="Arial"/>
          <w:b/>
          <w:bCs/>
          <w:color w:val="B8860B"/>
          <w:sz w:val="20"/>
          <w:szCs w:val="20"/>
        </w:rPr>
        <w:t xml:space="preserve">CONFIDENTIAL — FOR INTERNAL USE ONLY</w:t>
      </w:r>
    </w:p>
    <w:p>
      <w:pPr>
        <w:spacing w:after="80" w:before="80"/>
        <w:jc w:val="center"/>
      </w:pPr>
      <w:r>
        <w:rPr>
          <w:rFonts w:ascii="Arial" w:cs="Arial" w:eastAsia="Arial" w:hAnsi="Arial"/>
          <w:i/>
          <w:iCs/>
          <w:color w:val="475569"/>
          <w:sz w:val="16"/>
          <w:szCs w:val="16"/>
        </w:rPr>
        <w:t xml:space="preserve">This document is a fictional template created for educational and demonstration purposes only. It does not constitute legal advice or a binding agreement.</w:t>
      </w:r>
    </w:p>
    <w:p>
      <w:r>
        <w:br w:type="page"/>
      </w:r>
    </w:p>
    <w:p>
      <w:pPr>
        <w:pStyle w:val="Heading1"/>
        <w:spacing w:after="160" w:before="320"/>
      </w:pPr>
      <w:r>
        <w:rPr>
          <w:rFonts w:ascii="Arial" w:cs="Arial" w:eastAsia="Arial" w:hAnsi="Arial"/>
          <w:b/>
          <w:bCs/>
          <w:color w:val="0A1628"/>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Title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Limited Partnership Agreement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Version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v1.0</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Draft</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Classification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Confidential</w:t>
            </w:r>
          </w:p>
        </w:tc>
      </w:tr>
    </w:tbl>
    <w:p>
      <w:pPr>
        <w:spacing w:after="200" w:before="200"/>
      </w:pPr>
      <w:r>
        <w:t xml:space="preserve"/>
      </w:r>
    </w:p>
    <w:p>
      <w:pPr>
        <w:pStyle w:val="Heading1"/>
        <w:spacing w:after="160" w:before="320"/>
      </w:pPr>
      <w:r>
        <w:rPr>
          <w:rFonts w:ascii="Arial" w:cs="Arial" w:eastAsia="Arial" w:hAnsi="Arial"/>
          <w:b/>
          <w:bCs/>
          <w:color w:val="0A1628"/>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Modified By</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Changes Made</w:t>
            </w:r>
          </w:p>
        </w:tc>
      </w:tr>
      <w:tr>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v1.0</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April 15, 2026</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Jordan Kim</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Initial draft created using AI — awaiting legal counsel review</w:t>
            </w:r>
          </w:p>
        </w:tc>
      </w:tr>
    </w:tbl>
    <w:p>
      <w:r>
        <w:br w:type="page"/>
      </w:r>
    </w:p>
    <w:p>
      <w:pPr>
        <w:pStyle w:val="Heading1"/>
        <w:spacing w:after="160" w:before="320"/>
      </w:pPr>
      <w:r>
        <w:rPr>
          <w:rFonts w:ascii="Arial" w:cs="Arial" w:eastAsia="Arial" w:hAnsi="Arial"/>
          <w:b/>
          <w:bCs/>
          <w:color w:val="0A1628"/>
          <w:sz w:val="28"/>
          <w:szCs w:val="28"/>
        </w:rPr>
        <w:t xml:space="preserve">ARTICLE I — FORMATION AND NAME</w:t>
      </w:r>
    </w:p>
    <w:p>
      <w:pPr>
        <w:pStyle w:val="Heading2"/>
        <w:spacing w:after="120" w:before="240"/>
      </w:pPr>
      <w:r>
        <w:rPr>
          <w:rFonts w:ascii="Arial" w:cs="Arial" w:eastAsia="Arial" w:hAnsi="Arial"/>
          <w:b/>
          <w:bCs/>
          <w:color w:val="0A1628"/>
          <w:sz w:val="24"/>
          <w:szCs w:val="24"/>
        </w:rPr>
        <w:t xml:space="preserve">Section 1.1 — Formation</w:t>
      </w:r>
    </w:p>
    <w:p>
      <w:pPr>
        <w:spacing w:after="80" w:before="80"/>
        <w:jc w:val="both"/>
      </w:pPr>
      <w:r>
        <w:rPr>
          <w:rFonts w:ascii="Arial" w:cs="Arial" w:eastAsia="Arial" w:hAnsi="Arial"/>
          <w:color w:val="1E293B"/>
          <w:sz w:val="22"/>
          <w:szCs w:val="22"/>
        </w:rPr>
        <w:t xml:space="preserve">The General Partner hereby forms a limited partnership (the "Partnership") pursuant to the Delaware Revised Uniform Limited Partnership Act (the "Act") and any successor statutes, as amended from time to time.</w:t>
      </w:r>
    </w:p>
    <w:p>
      <w:pPr>
        <w:pStyle w:val="Heading2"/>
        <w:spacing w:after="120" w:before="240"/>
      </w:pPr>
      <w:r>
        <w:rPr>
          <w:rFonts w:ascii="Arial" w:cs="Arial" w:eastAsia="Arial" w:hAnsi="Arial"/>
          <w:b/>
          <w:bCs/>
          <w:color w:val="0A1628"/>
          <w:sz w:val="24"/>
          <w:szCs w:val="24"/>
        </w:rPr>
        <w:t xml:space="preserve">Section 1.2 — Name</w:t>
      </w:r>
    </w:p>
    <w:p>
      <w:pPr>
        <w:spacing w:after="80" w:before="80"/>
        <w:jc w:val="both"/>
      </w:pPr>
      <w:r>
        <w:rPr>
          <w:rFonts w:ascii="Arial" w:cs="Arial" w:eastAsia="Arial" w:hAnsi="Arial"/>
          <w:color w:val="1E293B"/>
          <w:sz w:val="22"/>
          <w:szCs w:val="22"/>
        </w:rPr>
        <w:t xml:space="preserve">The name of the Partnership shall be "Vantara Capital Partners Fund I, L.P." The General Partner may change the name of the Partnership at any time upon written notice to all Limited Partners.</w:t>
      </w:r>
    </w:p>
    <w:p>
      <w:pPr>
        <w:pStyle w:val="Heading2"/>
        <w:spacing w:after="120" w:before="240"/>
      </w:pPr>
      <w:r>
        <w:rPr>
          <w:rFonts w:ascii="Arial" w:cs="Arial" w:eastAsia="Arial" w:hAnsi="Arial"/>
          <w:b/>
          <w:bCs/>
          <w:color w:val="0A1628"/>
          <w:sz w:val="24"/>
          <w:szCs w:val="24"/>
        </w:rPr>
        <w:t xml:space="preserve">Section 1.3 — Principal Place of Business</w:t>
      </w:r>
    </w:p>
    <w:p>
      <w:pPr>
        <w:spacing w:after="80" w:before="80"/>
        <w:jc w:val="both"/>
      </w:pPr>
      <w:r>
        <w:rPr>
          <w:rFonts w:ascii="Arial" w:cs="Arial" w:eastAsia="Arial" w:hAnsi="Arial"/>
          <w:color w:val="1E293B"/>
          <w:sz w:val="22"/>
          <w:szCs w:val="22"/>
        </w:rPr>
        <w:t xml:space="preserve">The principal office and place of business of the Partnership shall be located at such place as the General Partner may from time to time determine. The initial principal place of business shall be determined by the General Partner.</w:t>
      </w:r>
    </w:p>
    <w:p>
      <w:pPr>
        <w:pStyle w:val="Heading2"/>
        <w:spacing w:after="120" w:before="240"/>
      </w:pPr>
      <w:r>
        <w:rPr>
          <w:rFonts w:ascii="Arial" w:cs="Arial" w:eastAsia="Arial" w:hAnsi="Arial"/>
          <w:b/>
          <w:bCs/>
          <w:color w:val="0A1628"/>
          <w:sz w:val="24"/>
          <w:szCs w:val="24"/>
        </w:rPr>
        <w:t xml:space="preserve">Section 1.4 — Registered Agent</w:t>
      </w:r>
    </w:p>
    <w:p>
      <w:pPr>
        <w:spacing w:after="80" w:before="80"/>
        <w:jc w:val="both"/>
      </w:pPr>
      <w:r>
        <w:rPr>
          <w:rFonts w:ascii="Arial" w:cs="Arial" w:eastAsia="Arial" w:hAnsi="Arial"/>
          <w:color w:val="1E293B"/>
          <w:sz w:val="22"/>
          <w:szCs w:val="22"/>
        </w:rPr>
        <w:t xml:space="preserve">The Partnership shall maintain a registered agent in the State of Delaware as required by the Act. The General Partner shall have the right to change the registered agent of the Partnership at any time.</w:t>
      </w:r>
    </w:p>
    <w:p>
      <w:pPr>
        <w:pStyle w:val="Heading1"/>
        <w:spacing w:after="160" w:before="320"/>
      </w:pPr>
      <w:r>
        <w:rPr>
          <w:rFonts w:ascii="Arial" w:cs="Arial" w:eastAsia="Arial" w:hAnsi="Arial"/>
          <w:b/>
          <w:bCs/>
          <w:color w:val="0A1628"/>
          <w:sz w:val="28"/>
          <w:szCs w:val="28"/>
        </w:rPr>
        <w:t xml:space="preserve">ARTICLE II — DEFINITIONS</w:t>
      </w:r>
    </w:p>
    <w:p>
      <w:pPr>
        <w:spacing w:after="80" w:before="80"/>
        <w:jc w:val="both"/>
      </w:pPr>
      <w:r>
        <w:rPr>
          <w:rFonts w:ascii="Arial" w:cs="Arial" w:eastAsia="Arial" w:hAnsi="Arial"/>
          <w:color w:val="1E293B"/>
          <w:sz w:val="22"/>
          <w:szCs w:val="22"/>
        </w:rPr>
        <w:t xml:space="preserve">As used in this Agreement, the following terms shall have the meanings set forth below:</w:t>
      </w:r>
    </w:p>
    <w:p>
      <w:pPr>
        <w:spacing w:after="60" w:before="60"/>
      </w:pPr>
      <w:r>
        <w:t xml:space="preserve"/>
      </w:r>
    </w:p>
    <w:p>
      <w:pPr>
        <w:spacing w:after="80" w:before="80"/>
        <w:jc w:val="both"/>
      </w:pPr>
      <w:r>
        <w:rPr>
          <w:rFonts w:ascii="Arial" w:cs="Arial" w:eastAsia="Arial" w:hAnsi="Arial"/>
          <w:color w:val="1E293B"/>
          <w:sz w:val="22"/>
          <w:szCs w:val="22"/>
        </w:rPr>
        <w:t xml:space="preserve">"Adjusted Capital Contributions" means, with respect to any Partner, such Partner's Capital Contributions reduced by any distributions of return of capital previously made to such Partner.</w:t>
      </w:r>
    </w:p>
    <w:p>
      <w:pPr>
        <w:spacing w:after="60" w:before="60"/>
      </w:pPr>
      <w:r>
        <w:t xml:space="preserve"/>
      </w:r>
    </w:p>
    <w:p>
      <w:pPr>
        <w:spacing w:after="80" w:before="80"/>
        <w:jc w:val="both"/>
      </w:pPr>
      <w:r>
        <w:rPr>
          <w:rFonts w:ascii="Arial" w:cs="Arial" w:eastAsia="Arial" w:hAnsi="Arial"/>
          <w:color w:val="1E293B"/>
          <w:sz w:val="22"/>
          <w:szCs w:val="22"/>
        </w:rPr>
        <w:t xml:space="preserve">"Capital Account" means the account maintained for each Partner in accordance with Section 4.1 of this Agreement.</w:t>
      </w:r>
    </w:p>
    <w:p>
      <w:pPr>
        <w:spacing w:after="60" w:before="60"/>
      </w:pPr>
      <w:r>
        <w:t xml:space="preserve"/>
      </w:r>
    </w:p>
    <w:p>
      <w:pPr>
        <w:spacing w:after="80" w:before="80"/>
        <w:jc w:val="both"/>
      </w:pPr>
      <w:r>
        <w:rPr>
          <w:rFonts w:ascii="Arial" w:cs="Arial" w:eastAsia="Arial" w:hAnsi="Arial"/>
          <w:color w:val="1E293B"/>
          <w:sz w:val="22"/>
          <w:szCs w:val="22"/>
        </w:rPr>
        <w:t xml:space="preserve">"Capital Commitment" means, with respect to each Limited Partner, the maximum amount such Limited Partner has agreed to contribute to the Partnership as set forth in the applicable Subscription Agreement.</w:t>
      </w:r>
    </w:p>
    <w:p>
      <w:pPr>
        <w:spacing w:after="60" w:before="60"/>
      </w:pPr>
      <w:r>
        <w:t xml:space="preserve"/>
      </w:r>
    </w:p>
    <w:p>
      <w:pPr>
        <w:spacing w:after="80" w:before="80"/>
        <w:jc w:val="both"/>
      </w:pPr>
      <w:r>
        <w:rPr>
          <w:rFonts w:ascii="Arial" w:cs="Arial" w:eastAsia="Arial" w:hAnsi="Arial"/>
          <w:color w:val="1E293B"/>
          <w:sz w:val="22"/>
          <w:szCs w:val="22"/>
        </w:rPr>
        <w:t xml:space="preserve">"Carried Interest" means the amount distributable to the General Partner as set forth in Section 6.2(b) of this Agreement, equal to twenty percent (20%) of net profits above the Preferred Return.</w:t>
      </w:r>
    </w:p>
    <w:p>
      <w:pPr>
        <w:spacing w:after="60" w:before="60"/>
      </w:pPr>
      <w:r>
        <w:t xml:space="preserve"/>
      </w:r>
    </w:p>
    <w:p>
      <w:pPr>
        <w:spacing w:after="80" w:before="80"/>
        <w:jc w:val="both"/>
      </w:pPr>
      <w:r>
        <w:rPr>
          <w:rFonts w:ascii="Arial" w:cs="Arial" w:eastAsia="Arial" w:hAnsi="Arial"/>
          <w:color w:val="1E293B"/>
          <w:sz w:val="22"/>
          <w:szCs w:val="22"/>
        </w:rPr>
        <w:t xml:space="preserve">"Clawback" means the obligation of the General Partner to return previously distributed Carried Interest to the extent required under Section 6.4 of this Agreement.</w:t>
      </w:r>
    </w:p>
    <w:p>
      <w:pPr>
        <w:spacing w:after="60" w:before="60"/>
      </w:pPr>
      <w:r>
        <w:t xml:space="preserve"/>
      </w:r>
    </w:p>
    <w:p>
      <w:pPr>
        <w:spacing w:after="80" w:before="80"/>
        <w:jc w:val="both"/>
      </w:pPr>
      <w:r>
        <w:rPr>
          <w:rFonts w:ascii="Arial" w:cs="Arial" w:eastAsia="Arial" w:hAnsi="Arial"/>
          <w:color w:val="1E293B"/>
          <w:sz w:val="22"/>
          <w:szCs w:val="22"/>
        </w:rPr>
        <w:t xml:space="preserve">"Commitment Period" means the period beginning on the Initial Closing Date and ending on the fifth (5th) anniversary thereof, unless earlier terminated in accordance with this Agreement.</w:t>
      </w:r>
    </w:p>
    <w:p>
      <w:pPr>
        <w:spacing w:after="60" w:before="60"/>
      </w:pPr>
      <w:r>
        <w:t xml:space="preserve"/>
      </w:r>
    </w:p>
    <w:p>
      <w:pPr>
        <w:spacing w:after="80" w:before="80"/>
        <w:jc w:val="both"/>
      </w:pPr>
      <w:r>
        <w:rPr>
          <w:rFonts w:ascii="Arial" w:cs="Arial" w:eastAsia="Arial" w:hAnsi="Arial"/>
          <w:color w:val="1E293B"/>
          <w:sz w:val="22"/>
          <w:szCs w:val="22"/>
        </w:rPr>
        <w:t xml:space="preserve">"Fund Life" means the ten (10) year period beginning on the Initial Closing Date, subject to extension for up to two (2) additional one-year periods as provided herein.</w:t>
      </w:r>
    </w:p>
    <w:p>
      <w:pPr>
        <w:spacing w:after="60" w:before="60"/>
      </w:pPr>
      <w:r>
        <w:t xml:space="preserve"/>
      </w:r>
    </w:p>
    <w:p>
      <w:pPr>
        <w:spacing w:after="80" w:before="80"/>
        <w:jc w:val="both"/>
      </w:pPr>
      <w:r>
        <w:rPr>
          <w:rFonts w:ascii="Arial" w:cs="Arial" w:eastAsia="Arial" w:hAnsi="Arial"/>
          <w:color w:val="1E293B"/>
          <w:sz w:val="22"/>
          <w:szCs w:val="22"/>
        </w:rPr>
        <w:t xml:space="preserve">"General Partner" means Vantara Capital GP LLC, a Delaware limited liability company, or any successor general partner admitted in accordance with this Agreement.</w:t>
      </w:r>
    </w:p>
    <w:p>
      <w:pPr>
        <w:spacing w:after="60" w:before="60"/>
      </w:pPr>
      <w:r>
        <w:t xml:space="preserve"/>
      </w:r>
    </w:p>
    <w:p>
      <w:pPr>
        <w:spacing w:after="80" w:before="80"/>
        <w:jc w:val="both"/>
      </w:pPr>
      <w:r>
        <w:rPr>
          <w:rFonts w:ascii="Arial" w:cs="Arial" w:eastAsia="Arial" w:hAnsi="Arial"/>
          <w:color w:val="1E293B"/>
          <w:sz w:val="22"/>
          <w:szCs w:val="22"/>
        </w:rPr>
        <w:t xml:space="preserve">"Hurdle Rate" means eight percent (8%) per annum, compounded annually, as further described in Section 6.2.</w:t>
      </w:r>
    </w:p>
    <w:p>
      <w:pPr>
        <w:spacing w:after="60" w:before="60"/>
      </w:pPr>
      <w:r>
        <w:t xml:space="preserve"/>
      </w:r>
    </w:p>
    <w:p>
      <w:pPr>
        <w:spacing w:after="80" w:before="80"/>
        <w:jc w:val="both"/>
      </w:pPr>
      <w:r>
        <w:rPr>
          <w:rFonts w:ascii="Arial" w:cs="Arial" w:eastAsia="Arial" w:hAnsi="Arial"/>
          <w:color w:val="1E293B"/>
          <w:sz w:val="22"/>
          <w:szCs w:val="22"/>
        </w:rPr>
        <w:t xml:space="preserve">"Investment" means any equity, debt, or other security or instrument acquired or to be acquired by the Partnership.</w:t>
      </w:r>
    </w:p>
    <w:p>
      <w:pPr>
        <w:spacing w:after="60" w:before="60"/>
      </w:pPr>
      <w:r>
        <w:t xml:space="preserve"/>
      </w:r>
    </w:p>
    <w:p>
      <w:pPr>
        <w:spacing w:after="80" w:before="80"/>
        <w:jc w:val="both"/>
      </w:pPr>
      <w:r>
        <w:rPr>
          <w:rFonts w:ascii="Arial" w:cs="Arial" w:eastAsia="Arial" w:hAnsi="Arial"/>
          <w:color w:val="1E293B"/>
          <w:sz w:val="22"/>
          <w:szCs w:val="22"/>
        </w:rPr>
        <w:t xml:space="preserve">"Management Fee" means the annual fee payable to the General Partner as described in Section 7.1, equal to two percent (2%) of committed capital during the Commitment Period and two percent (2%) of invested capital thereafter.</w:t>
      </w:r>
    </w:p>
    <w:p>
      <w:pPr>
        <w:spacing w:after="60" w:before="60"/>
      </w:pPr>
      <w:r>
        <w:t xml:space="preserve"/>
      </w:r>
    </w:p>
    <w:p>
      <w:pPr>
        <w:spacing w:after="80" w:before="80"/>
        <w:jc w:val="both"/>
      </w:pPr>
      <w:r>
        <w:rPr>
          <w:rFonts w:ascii="Arial" w:cs="Arial" w:eastAsia="Arial" w:hAnsi="Arial"/>
          <w:color w:val="1E293B"/>
          <w:sz w:val="22"/>
          <w:szCs w:val="22"/>
        </w:rPr>
        <w:t xml:space="preserve">"Net Asset Value" or "NAV" means the fair market value of the Partnership's total assets minus total liabilities, as determined by the General Partner in good faith in accordance with GAAP and ASC 946.</w:t>
      </w:r>
    </w:p>
    <w:p>
      <w:r>
        <w:br w:type="page"/>
      </w:r>
    </w:p>
    <w:p>
      <w:pPr>
        <w:pStyle w:val="Heading1"/>
        <w:spacing w:after="160" w:before="320"/>
      </w:pPr>
      <w:r>
        <w:rPr>
          <w:rFonts w:ascii="Arial" w:cs="Arial" w:eastAsia="Arial" w:hAnsi="Arial"/>
          <w:b/>
          <w:bCs/>
          <w:color w:val="0A1628"/>
          <w:sz w:val="28"/>
          <w:szCs w:val="28"/>
        </w:rPr>
        <w:t xml:space="preserve">ARTICLE III — CAPITAL CONTRIBUTIONS</w:t>
      </w:r>
    </w:p>
    <w:p>
      <w:pPr>
        <w:pStyle w:val="Heading2"/>
        <w:spacing w:after="120" w:before="240"/>
      </w:pPr>
      <w:r>
        <w:rPr>
          <w:rFonts w:ascii="Arial" w:cs="Arial" w:eastAsia="Arial" w:hAnsi="Arial"/>
          <w:b/>
          <w:bCs/>
          <w:color w:val="0A1628"/>
          <w:sz w:val="24"/>
          <w:szCs w:val="24"/>
        </w:rPr>
        <w:t xml:space="preserve">Section 3.1 — Capital Commitments</w:t>
      </w:r>
    </w:p>
    <w:p>
      <w:pPr>
        <w:spacing w:after="80" w:before="80"/>
        <w:jc w:val="both"/>
      </w:pPr>
      <w:r>
        <w:rPr>
          <w:rFonts w:ascii="Arial" w:cs="Arial" w:eastAsia="Arial" w:hAnsi="Arial"/>
          <w:color w:val="1E293B"/>
          <w:sz w:val="22"/>
          <w:szCs w:val="22"/>
        </w:rPr>
        <w:t xml:space="preserve">Each Limited Partner shall make Capital Contributions to the Partnership in an aggregate amount equal to such Limited Partner's Capital Commitment, payable in installments upon Capital Calls made by the General Partner in accordance with this Article III.</w:t>
      </w:r>
    </w:p>
    <w:p>
      <w:pPr>
        <w:pStyle w:val="Heading2"/>
        <w:spacing w:after="120" w:before="240"/>
      </w:pPr>
      <w:r>
        <w:rPr>
          <w:rFonts w:ascii="Arial" w:cs="Arial" w:eastAsia="Arial" w:hAnsi="Arial"/>
          <w:b/>
          <w:bCs/>
          <w:color w:val="0A1628"/>
          <w:sz w:val="24"/>
          <w:szCs w:val="24"/>
        </w:rPr>
        <w:t xml:space="preserve">Section 3.2 — Capital Calls</w:t>
      </w:r>
    </w:p>
    <w:p>
      <w:pPr>
        <w:spacing w:after="80" w:before="80"/>
        <w:jc w:val="both"/>
      </w:pPr>
      <w:r>
        <w:rPr>
          <w:rFonts w:ascii="Arial" w:cs="Arial" w:eastAsia="Arial" w:hAnsi="Arial"/>
          <w:color w:val="1E293B"/>
          <w:sz w:val="22"/>
          <w:szCs w:val="22"/>
        </w:rPr>
        <w:t xml:space="preserve">The General Partner may from time to time during the Commitment Period issue Capital Call notices to each Limited Partner, specifying:</w:t>
      </w:r>
    </w:p>
    <w:p>
      <w:pPr>
        <w:pStyle w:val="ListParagraph"/>
        <w:numPr>
          <w:ilvl w:val="0"/>
          <w:numId w:val="2"/>
        </w:numPr>
        <w:spacing w:after="60" w:before="60"/>
      </w:pPr>
      <w:r>
        <w:rPr>
          <w:rFonts w:ascii="Arial" w:cs="Arial" w:eastAsia="Arial" w:hAnsi="Arial"/>
          <w:color w:val="1E293B"/>
          <w:sz w:val="22"/>
          <w:szCs w:val="22"/>
        </w:rPr>
        <w:t xml:space="preserve">The aggregate amount of Capital being called from all Limited Partners;</w:t>
      </w:r>
    </w:p>
    <w:p>
      <w:pPr>
        <w:pStyle w:val="ListParagraph"/>
        <w:numPr>
          <w:ilvl w:val="0"/>
          <w:numId w:val="2"/>
        </w:numPr>
        <w:spacing w:after="60" w:before="60"/>
      </w:pPr>
      <w:r>
        <w:rPr>
          <w:rFonts w:ascii="Arial" w:cs="Arial" w:eastAsia="Arial" w:hAnsi="Arial"/>
          <w:color w:val="1E293B"/>
          <w:sz w:val="22"/>
          <w:szCs w:val="22"/>
        </w:rPr>
        <w:t xml:space="preserve">Each Limited Partner's pro rata share of such Capital Call;</w:t>
      </w:r>
    </w:p>
    <w:p>
      <w:pPr>
        <w:pStyle w:val="ListParagraph"/>
        <w:numPr>
          <w:ilvl w:val="0"/>
          <w:numId w:val="2"/>
        </w:numPr>
        <w:spacing w:after="60" w:before="60"/>
      </w:pPr>
      <w:r>
        <w:rPr>
          <w:rFonts w:ascii="Arial" w:cs="Arial" w:eastAsia="Arial" w:hAnsi="Arial"/>
          <w:color w:val="1E293B"/>
          <w:sz w:val="22"/>
          <w:szCs w:val="22"/>
        </w:rPr>
        <w:t xml:space="preserve">The purpose for which the called Capital will be used;</w:t>
      </w:r>
    </w:p>
    <w:p>
      <w:pPr>
        <w:pStyle w:val="ListParagraph"/>
        <w:numPr>
          <w:ilvl w:val="0"/>
          <w:numId w:val="2"/>
        </w:numPr>
        <w:spacing w:after="60" w:before="60"/>
      </w:pPr>
      <w:r>
        <w:rPr>
          <w:rFonts w:ascii="Arial" w:cs="Arial" w:eastAsia="Arial" w:hAnsi="Arial"/>
          <w:color w:val="1E293B"/>
          <w:sz w:val="22"/>
          <w:szCs w:val="22"/>
        </w:rPr>
        <w:t xml:space="preserve">The date by which payment must be received (no less than ten (10) Business Days after notice).</w:t>
      </w:r>
    </w:p>
    <w:p>
      <w:pPr>
        <w:pStyle w:val="Heading2"/>
        <w:spacing w:after="120" w:before="240"/>
      </w:pPr>
      <w:r>
        <w:rPr>
          <w:rFonts w:ascii="Arial" w:cs="Arial" w:eastAsia="Arial" w:hAnsi="Arial"/>
          <w:b/>
          <w:bCs/>
          <w:color w:val="0A1628"/>
          <w:sz w:val="24"/>
          <w:szCs w:val="24"/>
        </w:rPr>
        <w:t xml:space="preserve">Section 3.3 — Defaulting Limited Partners</w:t>
      </w:r>
    </w:p>
    <w:p>
      <w:pPr>
        <w:spacing w:after="80" w:before="80"/>
        <w:jc w:val="both"/>
      </w:pPr>
      <w:r>
        <w:rPr>
          <w:rFonts w:ascii="Arial" w:cs="Arial" w:eastAsia="Arial" w:hAnsi="Arial"/>
          <w:color w:val="1E293B"/>
          <w:sz w:val="22"/>
          <w:szCs w:val="22"/>
        </w:rPr>
        <w:t xml:space="preserve">In the event a Limited Partner fails to fund a Capital Call by the required date, such Limited Partner shall be deemed a "Defaulting Limited Partner" and shall be subject to remedies as set forth in Section 3.4.</w:t>
      </w:r>
    </w:p>
    <w:p>
      <w:pPr>
        <w:pStyle w:val="Heading2"/>
        <w:spacing w:after="120" w:before="240"/>
      </w:pPr>
      <w:r>
        <w:rPr>
          <w:rFonts w:ascii="Arial" w:cs="Arial" w:eastAsia="Arial" w:hAnsi="Arial"/>
          <w:b/>
          <w:bCs/>
          <w:color w:val="0A1628"/>
          <w:sz w:val="24"/>
          <w:szCs w:val="24"/>
        </w:rPr>
        <w:t xml:space="preserve">Section 3.4 — Default Remedies</w:t>
      </w:r>
    </w:p>
    <w:p>
      <w:pPr>
        <w:spacing w:after="80" w:before="80"/>
        <w:jc w:val="both"/>
      </w:pPr>
      <w:r>
        <w:rPr>
          <w:rFonts w:ascii="Arial" w:cs="Arial" w:eastAsia="Arial" w:hAnsi="Arial"/>
          <w:color w:val="1E293B"/>
          <w:sz w:val="22"/>
          <w:szCs w:val="22"/>
        </w:rPr>
        <w:t xml:space="preserve">Upon becoming a Defaulting Limited Partner, the General Partner may, in its sole discretion, apply one or more of the following remedies:</w:t>
      </w:r>
    </w:p>
    <w:p>
      <w:pPr>
        <w:pStyle w:val="ListParagraph"/>
        <w:numPr>
          <w:ilvl w:val="0"/>
          <w:numId w:val="3"/>
        </w:numPr>
        <w:spacing w:after="60" w:before="60"/>
      </w:pPr>
      <w:r>
        <w:rPr>
          <w:rFonts w:ascii="Arial" w:cs="Arial" w:eastAsia="Arial" w:hAnsi="Arial"/>
          <w:color w:val="1E293B"/>
          <w:sz w:val="22"/>
          <w:szCs w:val="22"/>
        </w:rPr>
        <w:t xml:space="preserve">Charge interest on the unfunded amount at a rate of twelve percent (12%) per annum from the due date;</w:t>
      </w:r>
    </w:p>
    <w:p>
      <w:pPr>
        <w:pStyle w:val="ListParagraph"/>
        <w:numPr>
          <w:ilvl w:val="0"/>
          <w:numId w:val="3"/>
        </w:numPr>
        <w:spacing w:after="60" w:before="60"/>
      </w:pPr>
      <w:r>
        <w:rPr>
          <w:rFonts w:ascii="Arial" w:cs="Arial" w:eastAsia="Arial" w:hAnsi="Arial"/>
          <w:color w:val="1E293B"/>
          <w:sz w:val="22"/>
          <w:szCs w:val="22"/>
        </w:rPr>
        <w:t xml:space="preserve">Reduce the Defaulting Limited Partner's Capital Commitment and future distributions on a basis determined by the General Partner;</w:t>
      </w:r>
    </w:p>
    <w:p>
      <w:pPr>
        <w:pStyle w:val="ListParagraph"/>
        <w:numPr>
          <w:ilvl w:val="0"/>
          <w:numId w:val="3"/>
        </w:numPr>
        <w:spacing w:after="60" w:before="60"/>
      </w:pPr>
      <w:r>
        <w:rPr>
          <w:rFonts w:ascii="Arial" w:cs="Arial" w:eastAsia="Arial" w:hAnsi="Arial"/>
          <w:color w:val="1E293B"/>
          <w:sz w:val="22"/>
          <w:szCs w:val="22"/>
        </w:rPr>
        <w:t xml:space="preserve">Offer the Defaulting Limited Partner's remaining Commitment to existing or new Limited Partners;</w:t>
      </w:r>
    </w:p>
    <w:p>
      <w:pPr>
        <w:pStyle w:val="ListParagraph"/>
        <w:numPr>
          <w:ilvl w:val="0"/>
          <w:numId w:val="3"/>
        </w:numPr>
        <w:spacing w:after="60" w:before="60"/>
      </w:pPr>
      <w:r>
        <w:rPr>
          <w:rFonts w:ascii="Arial" w:cs="Arial" w:eastAsia="Arial" w:hAnsi="Arial"/>
          <w:color w:val="1E293B"/>
          <w:sz w:val="22"/>
          <w:szCs w:val="22"/>
        </w:rPr>
        <w:t xml:space="preserve">Pursue any other legal remedy available under applicable law.</w:t>
      </w:r>
    </w:p>
    <w:p>
      <w:pPr>
        <w:pStyle w:val="Heading2"/>
        <w:spacing w:after="120" w:before="240"/>
      </w:pPr>
      <w:r>
        <w:rPr>
          <w:rFonts w:ascii="Arial" w:cs="Arial" w:eastAsia="Arial" w:hAnsi="Arial"/>
          <w:b/>
          <w:bCs/>
          <w:color w:val="0A1628"/>
          <w:sz w:val="24"/>
          <w:szCs w:val="24"/>
        </w:rPr>
        <w:t xml:space="preserve">Section 3.5 — GP Commitment</w:t>
      </w:r>
    </w:p>
    <w:p>
      <w:pPr>
        <w:spacing w:after="80" w:before="80"/>
        <w:jc w:val="both"/>
      </w:pPr>
      <w:r>
        <w:rPr>
          <w:rFonts w:ascii="Arial" w:cs="Arial" w:eastAsia="Arial" w:hAnsi="Arial"/>
          <w:color w:val="1E293B"/>
          <w:sz w:val="22"/>
          <w:szCs w:val="22"/>
        </w:rPr>
        <w:t xml:space="preserve">The General Partner shall make a capital contribution to the Partnership equal to not less than one percent (1%) of total Limited Partner Commitments, representing meaningful co-investment alongside Limited Partners.</w:t>
      </w:r>
    </w:p>
    <w:p>
      <w:r>
        <w:br w:type="page"/>
      </w:r>
    </w:p>
    <w:p>
      <w:pPr>
        <w:pStyle w:val="Heading1"/>
        <w:spacing w:after="160" w:before="320"/>
      </w:pPr>
      <w:r>
        <w:rPr>
          <w:rFonts w:ascii="Arial" w:cs="Arial" w:eastAsia="Arial" w:hAnsi="Arial"/>
          <w:b/>
          <w:bCs/>
          <w:color w:val="0A1628"/>
          <w:sz w:val="28"/>
          <w:szCs w:val="28"/>
        </w:rPr>
        <w:t xml:space="preserve">ARTICLE IV — CAPITAL ACCOUNTS</w:t>
      </w:r>
    </w:p>
    <w:p>
      <w:pPr>
        <w:pStyle w:val="Heading2"/>
        <w:spacing w:after="120" w:before="240"/>
      </w:pPr>
      <w:r>
        <w:rPr>
          <w:rFonts w:ascii="Arial" w:cs="Arial" w:eastAsia="Arial" w:hAnsi="Arial"/>
          <w:b/>
          <w:bCs/>
          <w:color w:val="0A1628"/>
          <w:sz w:val="24"/>
          <w:szCs w:val="24"/>
        </w:rPr>
        <w:t xml:space="preserve">Section 4.1 — Maintenance of Capital Accounts</w:t>
      </w:r>
    </w:p>
    <w:p>
      <w:pPr>
        <w:spacing w:after="80" w:before="80"/>
        <w:jc w:val="both"/>
      </w:pPr>
      <w:r>
        <w:rPr>
          <w:rFonts w:ascii="Arial" w:cs="Arial" w:eastAsia="Arial" w:hAnsi="Arial"/>
          <w:color w:val="1E293B"/>
          <w:sz w:val="22"/>
          <w:szCs w:val="22"/>
        </w:rPr>
        <w:t xml:space="preserve">A separate Capital Account shall be maintained for each Partner. Each Partner's Capital Account shall be:</w:t>
      </w:r>
    </w:p>
    <w:p>
      <w:pPr>
        <w:pStyle w:val="ListParagraph"/>
        <w:numPr>
          <w:ilvl w:val="0"/>
          <w:numId w:val="2"/>
        </w:numPr>
        <w:spacing w:after="60" w:before="60"/>
      </w:pPr>
      <w:r>
        <w:rPr>
          <w:rFonts w:ascii="Arial" w:cs="Arial" w:eastAsia="Arial" w:hAnsi="Arial"/>
          <w:color w:val="1E293B"/>
          <w:sz w:val="22"/>
          <w:szCs w:val="22"/>
        </w:rPr>
        <w:t xml:space="preserve">Increased by such Partner's Capital Contributions and allocations of Partnership income and gain;</w:t>
      </w:r>
    </w:p>
    <w:p>
      <w:pPr>
        <w:pStyle w:val="ListParagraph"/>
        <w:numPr>
          <w:ilvl w:val="0"/>
          <w:numId w:val="2"/>
        </w:numPr>
        <w:spacing w:after="60" w:before="60"/>
      </w:pPr>
      <w:r>
        <w:rPr>
          <w:rFonts w:ascii="Arial" w:cs="Arial" w:eastAsia="Arial" w:hAnsi="Arial"/>
          <w:color w:val="1E293B"/>
          <w:sz w:val="22"/>
          <w:szCs w:val="22"/>
        </w:rPr>
        <w:t xml:space="preserve">Decreased by distributions to such Partner and allocations of Partnership losses, deductions, and expenses;</w:t>
      </w:r>
    </w:p>
    <w:p>
      <w:pPr>
        <w:pStyle w:val="ListParagraph"/>
        <w:numPr>
          <w:ilvl w:val="0"/>
          <w:numId w:val="2"/>
        </w:numPr>
        <w:spacing w:after="60" w:before="60"/>
      </w:pPr>
      <w:r>
        <w:rPr>
          <w:rFonts w:ascii="Arial" w:cs="Arial" w:eastAsia="Arial" w:hAnsi="Arial"/>
          <w:color w:val="1E293B"/>
          <w:sz w:val="22"/>
          <w:szCs w:val="22"/>
        </w:rPr>
        <w:t xml:space="preserve">Adjusted to reflect the fair market value of Partnership assets upon certain triggering events as described herein.</w:t>
      </w:r>
    </w:p>
    <w:p>
      <w:pPr>
        <w:pStyle w:val="Heading2"/>
        <w:spacing w:after="120" w:before="240"/>
      </w:pPr>
      <w:r>
        <w:rPr>
          <w:rFonts w:ascii="Arial" w:cs="Arial" w:eastAsia="Arial" w:hAnsi="Arial"/>
          <w:b/>
          <w:bCs/>
          <w:color w:val="0A1628"/>
          <w:sz w:val="24"/>
          <w:szCs w:val="24"/>
        </w:rPr>
        <w:t xml:space="preserve">Section 4.2 — Allocations of Income and Loss</w:t>
      </w:r>
    </w:p>
    <w:p>
      <w:pPr>
        <w:spacing w:after="80" w:before="80"/>
        <w:jc w:val="both"/>
      </w:pPr>
      <w:r>
        <w:rPr>
          <w:rFonts w:ascii="Arial" w:cs="Arial" w:eastAsia="Arial" w:hAnsi="Arial"/>
          <w:color w:val="1E293B"/>
          <w:sz w:val="22"/>
          <w:szCs w:val="22"/>
        </w:rPr>
        <w:t xml:space="preserve">Except as otherwise provided herein, items of Partnership income, gain, loss, deduction, and credit shall be allocated among the Partners in proportion to their respective Capital Account balances, subject to the special allocations set forth in Section 4.3.</w:t>
      </w:r>
    </w:p>
    <w:p>
      <w:pPr>
        <w:pStyle w:val="Heading2"/>
        <w:spacing w:after="120" w:before="240"/>
      </w:pPr>
      <w:r>
        <w:rPr>
          <w:rFonts w:ascii="Arial" w:cs="Arial" w:eastAsia="Arial" w:hAnsi="Arial"/>
          <w:b/>
          <w:bCs/>
          <w:color w:val="0A1628"/>
          <w:sz w:val="24"/>
          <w:szCs w:val="24"/>
        </w:rPr>
        <w:t xml:space="preserve">Section 4.3 — Special Allocations</w:t>
      </w:r>
    </w:p>
    <w:p>
      <w:pPr>
        <w:spacing w:after="80" w:before="80"/>
        <w:jc w:val="both"/>
      </w:pPr>
      <w:r>
        <w:rPr>
          <w:rFonts w:ascii="Arial" w:cs="Arial" w:eastAsia="Arial" w:hAnsi="Arial"/>
          <w:color w:val="1E293B"/>
          <w:sz w:val="22"/>
          <w:szCs w:val="22"/>
        </w:rPr>
        <w:t xml:space="preserve">The following special allocations shall be made before the general allocations of Section 4.2:</w:t>
      </w:r>
    </w:p>
    <w:p>
      <w:pPr>
        <w:pStyle w:val="ListParagraph"/>
        <w:numPr>
          <w:ilvl w:val="0"/>
          <w:numId w:val="2"/>
        </w:numPr>
        <w:spacing w:after="60" w:before="60"/>
      </w:pPr>
      <w:r>
        <w:rPr>
          <w:rFonts w:ascii="Arial" w:cs="Arial" w:eastAsia="Arial" w:hAnsi="Arial"/>
          <w:color w:val="1E293B"/>
          <w:sz w:val="22"/>
          <w:szCs w:val="22"/>
        </w:rPr>
        <w:t xml:space="preserve">Minimum Gain Chargeback: As required under Treasury Regulations Section 1.704-2;</w:t>
      </w:r>
    </w:p>
    <w:p>
      <w:pPr>
        <w:pStyle w:val="ListParagraph"/>
        <w:numPr>
          <w:ilvl w:val="0"/>
          <w:numId w:val="2"/>
        </w:numPr>
        <w:spacing w:after="60" w:before="60"/>
      </w:pPr>
      <w:r>
        <w:rPr>
          <w:rFonts w:ascii="Arial" w:cs="Arial" w:eastAsia="Arial" w:hAnsi="Arial"/>
          <w:color w:val="1E293B"/>
          <w:sz w:val="22"/>
          <w:szCs w:val="22"/>
        </w:rPr>
        <w:t xml:space="preserve">Qualified Income Offset: As required under Treasury Regulations Section 1.704-1(b)(2)(ii)(d);</w:t>
      </w:r>
    </w:p>
    <w:p>
      <w:pPr>
        <w:pStyle w:val="ListParagraph"/>
        <w:numPr>
          <w:ilvl w:val="0"/>
          <w:numId w:val="2"/>
        </w:numPr>
        <w:spacing w:after="60" w:before="60"/>
      </w:pPr>
      <w:r>
        <w:rPr>
          <w:rFonts w:ascii="Arial" w:cs="Arial" w:eastAsia="Arial" w:hAnsi="Arial"/>
          <w:color w:val="1E293B"/>
          <w:sz w:val="22"/>
          <w:szCs w:val="22"/>
        </w:rPr>
        <w:t xml:space="preserve">Gross Income Allocation: To restore any deficit Capital Account balances.</w:t>
      </w:r>
    </w:p>
    <w:p>
      <w:r>
        <w:br w:type="page"/>
      </w:r>
    </w:p>
    <w:p>
      <w:pPr>
        <w:pStyle w:val="Heading1"/>
        <w:spacing w:after="160" w:before="320"/>
      </w:pPr>
      <w:r>
        <w:rPr>
          <w:rFonts w:ascii="Arial" w:cs="Arial" w:eastAsia="Arial" w:hAnsi="Arial"/>
          <w:b/>
          <w:bCs/>
          <w:color w:val="0A1628"/>
          <w:sz w:val="28"/>
          <w:szCs w:val="28"/>
        </w:rPr>
        <w:t xml:space="preserve">ARTICLE V — INVESTMENT STRATEGY AND RESTRICTIONS</w:t>
      </w:r>
    </w:p>
    <w:p>
      <w:pPr>
        <w:pStyle w:val="Heading2"/>
        <w:spacing w:after="120" w:before="240"/>
      </w:pPr>
      <w:r>
        <w:rPr>
          <w:rFonts w:ascii="Arial" w:cs="Arial" w:eastAsia="Arial" w:hAnsi="Arial"/>
          <w:b/>
          <w:bCs/>
          <w:color w:val="0A1628"/>
          <w:sz w:val="24"/>
          <w:szCs w:val="24"/>
        </w:rPr>
        <w:t xml:space="preserve">Section 5.1 — Investment Objective</w:t>
      </w:r>
    </w:p>
    <w:p>
      <w:pPr>
        <w:spacing w:after="80" w:before="80"/>
        <w:jc w:val="both"/>
      </w:pPr>
      <w:r>
        <w:rPr>
          <w:rFonts w:ascii="Arial" w:cs="Arial" w:eastAsia="Arial" w:hAnsi="Arial"/>
          <w:color w:val="1E293B"/>
          <w:sz w:val="22"/>
          <w:szCs w:val="22"/>
        </w:rPr>
        <w:t xml:space="preserve">The investment objective of the Partnership is to generate superior risk-adjusted returns through the acquisition, active ownership, and value-creation improvement of lower middle-market businesses in the United States, with a focus on the Southeast region.</w:t>
      </w:r>
    </w:p>
    <w:p>
      <w:pPr>
        <w:pStyle w:val="Heading2"/>
        <w:spacing w:after="120" w:before="240"/>
      </w:pPr>
      <w:r>
        <w:rPr>
          <w:rFonts w:ascii="Arial" w:cs="Arial" w:eastAsia="Arial" w:hAnsi="Arial"/>
          <w:b/>
          <w:bCs/>
          <w:color w:val="0A1628"/>
          <w:sz w:val="24"/>
          <w:szCs w:val="24"/>
        </w:rPr>
        <w:t xml:space="preserve">Section 5.2 — Investment Strategy</w:t>
      </w:r>
    </w:p>
    <w:p>
      <w:pPr>
        <w:spacing w:after="80" w:before="80"/>
        <w:jc w:val="both"/>
      </w:pPr>
      <w:r>
        <w:rPr>
          <w:rFonts w:ascii="Arial" w:cs="Arial" w:eastAsia="Arial" w:hAnsi="Arial"/>
          <w:color w:val="1E293B"/>
          <w:sz w:val="22"/>
          <w:szCs w:val="22"/>
        </w:rPr>
        <w:t xml:space="preserve">The Partnership will pursue a buyout strategy targeting privately-held companies with the following characteristics:</w:t>
      </w:r>
    </w:p>
    <w:p>
      <w:pPr>
        <w:pStyle w:val="ListParagraph"/>
        <w:numPr>
          <w:ilvl w:val="0"/>
          <w:numId w:val="2"/>
        </w:numPr>
        <w:spacing w:after="60" w:before="60"/>
      </w:pPr>
      <w:r>
        <w:rPr>
          <w:rFonts w:ascii="Arial" w:cs="Arial" w:eastAsia="Arial" w:hAnsi="Arial"/>
          <w:color w:val="1E293B"/>
          <w:sz w:val="22"/>
          <w:szCs w:val="22"/>
        </w:rPr>
        <w:t xml:space="preserve">Annual Revenue between $10 million and $75 million;</w:t>
      </w:r>
    </w:p>
    <w:p>
      <w:pPr>
        <w:pStyle w:val="ListParagraph"/>
        <w:numPr>
          <w:ilvl w:val="0"/>
          <w:numId w:val="2"/>
        </w:numPr>
        <w:spacing w:after="60" w:before="60"/>
      </w:pPr>
      <w:r>
        <w:rPr>
          <w:rFonts w:ascii="Arial" w:cs="Arial" w:eastAsia="Arial" w:hAnsi="Arial"/>
          <w:color w:val="1E293B"/>
          <w:sz w:val="22"/>
          <w:szCs w:val="22"/>
        </w:rPr>
        <w:t xml:space="preserve">EBITDA between $3 million and $10 million;</w:t>
      </w:r>
    </w:p>
    <w:p>
      <w:pPr>
        <w:pStyle w:val="ListParagraph"/>
        <w:numPr>
          <w:ilvl w:val="0"/>
          <w:numId w:val="2"/>
        </w:numPr>
        <w:spacing w:after="60" w:before="60"/>
      </w:pPr>
      <w:r>
        <w:rPr>
          <w:rFonts w:ascii="Arial" w:cs="Arial" w:eastAsia="Arial" w:hAnsi="Arial"/>
          <w:color w:val="1E293B"/>
          <w:sz w:val="22"/>
          <w:szCs w:val="22"/>
        </w:rPr>
        <w:t xml:space="preserve">Enterprise Value between $15 million and $60 million;</w:t>
      </w:r>
    </w:p>
    <w:p>
      <w:pPr>
        <w:pStyle w:val="ListParagraph"/>
        <w:numPr>
          <w:ilvl w:val="0"/>
          <w:numId w:val="2"/>
        </w:numPr>
        <w:spacing w:after="60" w:before="60"/>
      </w:pPr>
      <w:r>
        <w:rPr>
          <w:rFonts w:ascii="Arial" w:cs="Arial" w:eastAsia="Arial" w:hAnsi="Arial"/>
          <w:color w:val="1E293B"/>
          <w:sz w:val="22"/>
          <w:szCs w:val="22"/>
        </w:rPr>
        <w:t xml:space="preserve">Sectors including Industrial Services, Business Services, and Specialty Manufacturing;</w:t>
      </w:r>
    </w:p>
    <w:p>
      <w:pPr>
        <w:pStyle w:val="ListParagraph"/>
        <w:numPr>
          <w:ilvl w:val="0"/>
          <w:numId w:val="2"/>
        </w:numPr>
        <w:spacing w:after="60" w:before="60"/>
      </w:pPr>
      <w:r>
        <w:rPr>
          <w:rFonts w:ascii="Arial" w:cs="Arial" w:eastAsia="Arial" w:hAnsi="Arial"/>
          <w:color w:val="1E293B"/>
          <w:sz w:val="22"/>
          <w:szCs w:val="22"/>
        </w:rPr>
        <w:t xml:space="preserve">Established businesses with defensible market positions and stable cash flows.</w:t>
      </w:r>
    </w:p>
    <w:p>
      <w:pPr>
        <w:pStyle w:val="Heading2"/>
        <w:spacing w:after="120" w:before="240"/>
      </w:pPr>
      <w:r>
        <w:rPr>
          <w:rFonts w:ascii="Arial" w:cs="Arial" w:eastAsia="Arial" w:hAnsi="Arial"/>
          <w:b/>
          <w:bCs/>
          <w:color w:val="0A1628"/>
          <w:sz w:val="24"/>
          <w:szCs w:val="24"/>
        </w:rPr>
        <w:t xml:space="preserve">Section 5.3 — Investment Restrictions</w:t>
      </w:r>
    </w:p>
    <w:p>
      <w:pPr>
        <w:spacing w:after="80" w:before="80"/>
        <w:jc w:val="both"/>
      </w:pPr>
      <w:r>
        <w:rPr>
          <w:rFonts w:ascii="Arial" w:cs="Arial" w:eastAsia="Arial" w:hAnsi="Arial"/>
          <w:color w:val="1E293B"/>
          <w:sz w:val="22"/>
          <w:szCs w:val="22"/>
        </w:rPr>
        <w:t xml:space="preserve">Unless otherwise approved by the Limited Partner Advisory Committee, the Partnership shall not:</w:t>
      </w:r>
    </w:p>
    <w:p>
      <w:pPr>
        <w:pStyle w:val="ListParagraph"/>
        <w:numPr>
          <w:ilvl w:val="0"/>
          <w:numId w:val="3"/>
        </w:numPr>
        <w:spacing w:after="60" w:before="60"/>
      </w:pPr>
      <w:r>
        <w:rPr>
          <w:rFonts w:ascii="Arial" w:cs="Arial" w:eastAsia="Arial" w:hAnsi="Arial"/>
          <w:color w:val="1E293B"/>
          <w:sz w:val="22"/>
          <w:szCs w:val="22"/>
        </w:rPr>
        <w:t xml:space="preserve">Invest more than twenty-five percent (25%) of aggregate Capital Commitments in a single Investment;</w:t>
      </w:r>
    </w:p>
    <w:p>
      <w:pPr>
        <w:pStyle w:val="ListParagraph"/>
        <w:numPr>
          <w:ilvl w:val="0"/>
          <w:numId w:val="3"/>
        </w:numPr>
        <w:spacing w:after="60" w:before="60"/>
      </w:pPr>
      <w:r>
        <w:rPr>
          <w:rFonts w:ascii="Arial" w:cs="Arial" w:eastAsia="Arial" w:hAnsi="Arial"/>
          <w:color w:val="1E293B"/>
          <w:sz w:val="22"/>
          <w:szCs w:val="22"/>
        </w:rPr>
        <w:t xml:space="preserve">Invest in real estate as a primary strategy;</w:t>
      </w:r>
    </w:p>
    <w:p>
      <w:pPr>
        <w:pStyle w:val="ListParagraph"/>
        <w:numPr>
          <w:ilvl w:val="0"/>
          <w:numId w:val="3"/>
        </w:numPr>
        <w:spacing w:after="60" w:before="60"/>
      </w:pPr>
      <w:r>
        <w:rPr>
          <w:rFonts w:ascii="Arial" w:cs="Arial" w:eastAsia="Arial" w:hAnsi="Arial"/>
          <w:color w:val="1E293B"/>
          <w:sz w:val="22"/>
          <w:szCs w:val="22"/>
        </w:rPr>
        <w:t xml:space="preserve">Invest in start-up or early-stage companies without revenues;</w:t>
      </w:r>
    </w:p>
    <w:p>
      <w:pPr>
        <w:pStyle w:val="ListParagraph"/>
        <w:numPr>
          <w:ilvl w:val="0"/>
          <w:numId w:val="3"/>
        </w:numPr>
        <w:spacing w:after="60" w:before="60"/>
      </w:pPr>
      <w:r>
        <w:rPr>
          <w:rFonts w:ascii="Arial" w:cs="Arial" w:eastAsia="Arial" w:hAnsi="Arial"/>
          <w:color w:val="1E293B"/>
          <w:sz w:val="22"/>
          <w:szCs w:val="22"/>
        </w:rPr>
        <w:t xml:space="preserve">Use leverage at the Fund level in excess of ten percent (10%) of NAV;</w:t>
      </w:r>
    </w:p>
    <w:p>
      <w:pPr>
        <w:pStyle w:val="ListParagraph"/>
        <w:numPr>
          <w:ilvl w:val="0"/>
          <w:numId w:val="3"/>
        </w:numPr>
        <w:spacing w:after="60" w:before="60"/>
      </w:pPr>
      <w:r>
        <w:rPr>
          <w:rFonts w:ascii="Arial" w:cs="Arial" w:eastAsia="Arial" w:hAnsi="Arial"/>
          <w:color w:val="1E293B"/>
          <w:sz w:val="22"/>
          <w:szCs w:val="22"/>
        </w:rPr>
        <w:t xml:space="preserve">Invest in publicly-traded securities as a primary strategy.</w:t>
      </w:r>
    </w:p>
    <w:p>
      <w:r>
        <w:br w:type="page"/>
      </w:r>
    </w:p>
    <w:p>
      <w:pPr>
        <w:pStyle w:val="Heading1"/>
        <w:spacing w:after="160" w:before="320"/>
      </w:pPr>
      <w:r>
        <w:rPr>
          <w:rFonts w:ascii="Arial" w:cs="Arial" w:eastAsia="Arial" w:hAnsi="Arial"/>
          <w:b/>
          <w:bCs/>
          <w:color w:val="0A1628"/>
          <w:sz w:val="28"/>
          <w:szCs w:val="28"/>
        </w:rPr>
        <w:t xml:space="preserve">ARTICLE VI — DISTRIBUTIONS</w:t>
      </w:r>
    </w:p>
    <w:p>
      <w:pPr>
        <w:pStyle w:val="Heading2"/>
        <w:spacing w:after="120" w:before="240"/>
      </w:pPr>
      <w:r>
        <w:rPr>
          <w:rFonts w:ascii="Arial" w:cs="Arial" w:eastAsia="Arial" w:hAnsi="Arial"/>
          <w:b/>
          <w:bCs/>
          <w:color w:val="0A1628"/>
          <w:sz w:val="24"/>
          <w:szCs w:val="24"/>
        </w:rPr>
        <w:t xml:space="preserve">Section 6.1 — Timing of Distributions</w:t>
      </w:r>
    </w:p>
    <w:p>
      <w:pPr>
        <w:spacing w:after="80" w:before="80"/>
        <w:jc w:val="both"/>
      </w:pPr>
      <w:r>
        <w:rPr>
          <w:rFonts w:ascii="Arial" w:cs="Arial" w:eastAsia="Arial" w:hAnsi="Arial"/>
          <w:color w:val="1E293B"/>
          <w:sz w:val="22"/>
          <w:szCs w:val="22"/>
        </w:rPr>
        <w:t xml:space="preserve">Distributions shall be made at such times and in such amounts as the General Partner determines in its reasonable discretion, subject to the waterfall provisions of Section 6.2 and applicable legal requirements.</w:t>
      </w:r>
    </w:p>
    <w:p>
      <w:pPr>
        <w:pStyle w:val="Heading2"/>
        <w:spacing w:after="120" w:before="240"/>
      </w:pPr>
      <w:r>
        <w:rPr>
          <w:rFonts w:ascii="Arial" w:cs="Arial" w:eastAsia="Arial" w:hAnsi="Arial"/>
          <w:b/>
          <w:bCs/>
          <w:color w:val="0A1628"/>
          <w:sz w:val="24"/>
          <w:szCs w:val="24"/>
        </w:rPr>
        <w:t xml:space="preserve">Section 6.2 — Distribution Waterfall</w:t>
      </w:r>
    </w:p>
    <w:p>
      <w:pPr>
        <w:spacing w:after="80" w:before="80"/>
        <w:jc w:val="both"/>
      </w:pPr>
      <w:r>
        <w:rPr>
          <w:rFonts w:ascii="Arial" w:cs="Arial" w:eastAsia="Arial" w:hAnsi="Arial"/>
          <w:color w:val="1E293B"/>
          <w:sz w:val="22"/>
          <w:szCs w:val="22"/>
        </w:rPr>
        <w:t xml:space="preserve">All distributions shall be made in the following order of priority:</w:t>
      </w:r>
    </w:p>
    <w:p>
      <w:pPr>
        <w:pStyle w:val="ListParagraph"/>
        <w:numPr>
          <w:ilvl w:val="0"/>
          <w:numId w:val="3"/>
        </w:numPr>
        <w:spacing w:after="60" w:before="60"/>
      </w:pPr>
      <w:r>
        <w:rPr>
          <w:rFonts w:ascii="Arial" w:cs="Arial" w:eastAsia="Arial" w:hAnsi="Arial"/>
          <w:color w:val="1E293B"/>
          <w:sz w:val="22"/>
          <w:szCs w:val="22"/>
        </w:rPr>
        <w:t xml:space="preserve">Return of Capital: First, one hundred percent (100%) to the Limited Partners until each Limited Partner has received distributions equal to its aggregate Capital Contributions;</w:t>
      </w:r>
    </w:p>
    <w:p>
      <w:pPr>
        <w:pStyle w:val="ListParagraph"/>
        <w:numPr>
          <w:ilvl w:val="0"/>
          <w:numId w:val="3"/>
        </w:numPr>
        <w:spacing w:after="60" w:before="60"/>
      </w:pPr>
      <w:r>
        <w:rPr>
          <w:rFonts w:ascii="Arial" w:cs="Arial" w:eastAsia="Arial" w:hAnsi="Arial"/>
          <w:color w:val="1E293B"/>
          <w:sz w:val="22"/>
          <w:szCs w:val="22"/>
        </w:rPr>
        <w:t xml:space="preserve">Preferred Return: Second, one hundred percent (100%) to the Limited Partners until each Limited Partner has received distributions equal to the Hurdle Rate (8% per annum) on its aggregate Capital Contributions;</w:t>
      </w:r>
    </w:p>
    <w:p>
      <w:pPr>
        <w:pStyle w:val="ListParagraph"/>
        <w:numPr>
          <w:ilvl w:val="0"/>
          <w:numId w:val="3"/>
        </w:numPr>
        <w:spacing w:after="60" w:before="60"/>
      </w:pPr>
      <w:r>
        <w:rPr>
          <w:rFonts w:ascii="Arial" w:cs="Arial" w:eastAsia="Arial" w:hAnsi="Arial"/>
          <w:color w:val="1E293B"/>
          <w:sz w:val="22"/>
          <w:szCs w:val="22"/>
        </w:rPr>
        <w:t xml:space="preserve">Catch-Up: Third, one hundred percent (100%) to the General Partner until the General Partner has received twenty percent (20%) of the sum of distributions made under clauses (2) and (3);</w:t>
      </w:r>
    </w:p>
    <w:p>
      <w:pPr>
        <w:pStyle w:val="ListParagraph"/>
        <w:numPr>
          <w:ilvl w:val="0"/>
          <w:numId w:val="3"/>
        </w:numPr>
        <w:spacing w:after="60" w:before="60"/>
      </w:pPr>
      <w:r>
        <w:rPr>
          <w:rFonts w:ascii="Arial" w:cs="Arial" w:eastAsia="Arial" w:hAnsi="Arial"/>
          <w:color w:val="1E293B"/>
          <w:sz w:val="22"/>
          <w:szCs w:val="22"/>
        </w:rPr>
        <w:t xml:space="preserve">Carried Interest Split: Thereafter, eighty percent (80%) to the Limited Partners and twenty percent (20%) to the General Partner (Carried Interest).</w:t>
      </w:r>
    </w:p>
    <w:p>
      <w:pPr>
        <w:pStyle w:val="Heading2"/>
        <w:spacing w:after="120" w:before="240"/>
      </w:pPr>
      <w:r>
        <w:rPr>
          <w:rFonts w:ascii="Arial" w:cs="Arial" w:eastAsia="Arial" w:hAnsi="Arial"/>
          <w:b/>
          <w:bCs/>
          <w:color w:val="0A1628"/>
          <w:sz w:val="24"/>
          <w:szCs w:val="24"/>
        </w:rPr>
        <w:t xml:space="preserve">Section 6.3 — In-Kind Distributions</w:t>
      </w:r>
    </w:p>
    <w:p>
      <w:pPr>
        <w:spacing w:after="80" w:before="80"/>
        <w:jc w:val="both"/>
      </w:pPr>
      <w:r>
        <w:rPr>
          <w:rFonts w:ascii="Arial" w:cs="Arial" w:eastAsia="Arial" w:hAnsi="Arial"/>
          <w:color w:val="1E293B"/>
          <w:sz w:val="22"/>
          <w:szCs w:val="22"/>
        </w:rPr>
        <w:t xml:space="preserve">The General Partner may, in its sole discretion, make distributions of securities in-kind, subject to applicable securities laws and LP Advisory Committee approval for distributions of restricted securities.</w:t>
      </w:r>
    </w:p>
    <w:p>
      <w:pPr>
        <w:pStyle w:val="Heading2"/>
        <w:spacing w:after="120" w:before="240"/>
      </w:pPr>
      <w:r>
        <w:rPr>
          <w:rFonts w:ascii="Arial" w:cs="Arial" w:eastAsia="Arial" w:hAnsi="Arial"/>
          <w:b/>
          <w:bCs/>
          <w:color w:val="0A1628"/>
          <w:sz w:val="24"/>
          <w:szCs w:val="24"/>
        </w:rPr>
        <w:t xml:space="preserve">Section 6.4 — Clawback</w:t>
      </w:r>
    </w:p>
    <w:p>
      <w:pPr>
        <w:spacing w:after="80" w:before="80"/>
        <w:jc w:val="both"/>
      </w:pPr>
      <w:r>
        <w:rPr>
          <w:rFonts w:ascii="Arial" w:cs="Arial" w:eastAsia="Arial" w:hAnsi="Arial"/>
          <w:color w:val="1E293B"/>
          <w:sz w:val="22"/>
          <w:szCs w:val="22"/>
        </w:rPr>
        <w:t xml:space="preserve">If, upon the liquidation of the Partnership, the General Partner has received Carried Interest distributions in excess of the amount it would have been entitled to receive based on the Partnership's overall performance, the General Partner shall be required to return such excess amount to the Partnership for distribution to the Limited Partners (the "Clawback Obligation"), subject to a cap equal to the net after-tax amount of Carried Interest received.</w:t>
      </w:r>
    </w:p>
    <w:p>
      <w:r>
        <w:br w:type="page"/>
      </w:r>
    </w:p>
    <w:p>
      <w:pPr>
        <w:pStyle w:val="Heading1"/>
        <w:spacing w:after="160" w:before="320"/>
      </w:pPr>
      <w:r>
        <w:rPr>
          <w:rFonts w:ascii="Arial" w:cs="Arial" w:eastAsia="Arial" w:hAnsi="Arial"/>
          <w:b/>
          <w:bCs/>
          <w:color w:val="0A1628"/>
          <w:sz w:val="28"/>
          <w:szCs w:val="28"/>
        </w:rPr>
        <w:t xml:space="preserve">ARTICLE VII — FEES AND EXPENSES</w:t>
      </w:r>
    </w:p>
    <w:p>
      <w:pPr>
        <w:pStyle w:val="Heading2"/>
        <w:spacing w:after="120" w:before="240"/>
      </w:pPr>
      <w:r>
        <w:rPr>
          <w:rFonts w:ascii="Arial" w:cs="Arial" w:eastAsia="Arial" w:hAnsi="Arial"/>
          <w:b/>
          <w:bCs/>
          <w:color w:val="0A1628"/>
          <w:sz w:val="24"/>
          <w:szCs w:val="24"/>
        </w:rPr>
        <w:t xml:space="preserve">Section 7.1 — Management Fee</w:t>
      </w:r>
    </w:p>
    <w:p>
      <w:pPr>
        <w:spacing w:after="80" w:before="80"/>
        <w:jc w:val="both"/>
      </w:pPr>
      <w:r>
        <w:rPr>
          <w:rFonts w:ascii="Arial" w:cs="Arial" w:eastAsia="Arial" w:hAnsi="Arial"/>
          <w:color w:val="1E293B"/>
          <w:sz w:val="22"/>
          <w:szCs w:val="22"/>
        </w:rPr>
        <w:t xml:space="preserve">The Partnership shall pay to the General Partner an annual Management Fee equal to:</w:t>
      </w:r>
    </w:p>
    <w:p>
      <w:pPr>
        <w:pStyle w:val="ListParagraph"/>
        <w:numPr>
          <w:ilvl w:val="0"/>
          <w:numId w:val="2"/>
        </w:numPr>
        <w:spacing w:after="60" w:before="60"/>
      </w:pPr>
      <w:r>
        <w:rPr>
          <w:rFonts w:ascii="Arial" w:cs="Arial" w:eastAsia="Arial" w:hAnsi="Arial"/>
          <w:color w:val="1E293B"/>
          <w:sz w:val="22"/>
          <w:szCs w:val="22"/>
        </w:rPr>
        <w:t xml:space="preserve">During the Commitment Period: Two percent (2.0%) of aggregate Capital Commitments ($1,000,000 per annum on a $50,000,000 fund), payable quarterly in advance;</w:t>
      </w:r>
    </w:p>
    <w:p>
      <w:pPr>
        <w:pStyle w:val="ListParagraph"/>
        <w:numPr>
          <w:ilvl w:val="0"/>
          <w:numId w:val="2"/>
        </w:numPr>
        <w:spacing w:after="60" w:before="60"/>
      </w:pPr>
      <w:r>
        <w:rPr>
          <w:rFonts w:ascii="Arial" w:cs="Arial" w:eastAsia="Arial" w:hAnsi="Arial"/>
          <w:color w:val="1E293B"/>
          <w:sz w:val="22"/>
          <w:szCs w:val="22"/>
        </w:rPr>
        <w:t xml:space="preserve">After the Commitment Period: Two percent (2.0%) of the aggregate cost basis of unrealized Investments, payable quarterly in advance.</w:t>
      </w:r>
    </w:p>
    <w:p>
      <w:pPr>
        <w:spacing w:after="80" w:before="80"/>
        <w:jc w:val="both"/>
      </w:pPr>
      <w:r>
        <w:rPr>
          <w:rFonts w:ascii="Arial" w:cs="Arial" w:eastAsia="Arial" w:hAnsi="Arial"/>
          <w:color w:val="1E293B"/>
          <w:sz w:val="22"/>
          <w:szCs w:val="22"/>
        </w:rPr>
        <w:t xml:space="preserve">The Management Fee shall be offset by fifty percent (50%) of any transaction fees, monitoring fees, or directors' fees received by the General Partner or its affiliates from Portfolio Companies.</w:t>
      </w:r>
    </w:p>
    <w:p>
      <w:pPr>
        <w:pStyle w:val="Heading2"/>
        <w:spacing w:after="120" w:before="240"/>
      </w:pPr>
      <w:r>
        <w:rPr>
          <w:rFonts w:ascii="Arial" w:cs="Arial" w:eastAsia="Arial" w:hAnsi="Arial"/>
          <w:b/>
          <w:bCs/>
          <w:color w:val="0A1628"/>
          <w:sz w:val="24"/>
          <w:szCs w:val="24"/>
        </w:rPr>
        <w:t xml:space="preserve">Section 7.2 — Fund Expenses</w:t>
      </w:r>
    </w:p>
    <w:p>
      <w:pPr>
        <w:spacing w:after="80" w:before="80"/>
        <w:jc w:val="both"/>
      </w:pPr>
      <w:r>
        <w:rPr>
          <w:rFonts w:ascii="Arial" w:cs="Arial" w:eastAsia="Arial" w:hAnsi="Arial"/>
          <w:color w:val="1E293B"/>
          <w:sz w:val="22"/>
          <w:szCs w:val="22"/>
        </w:rPr>
        <w:t xml:space="preserve">The Partnership shall bear all expenses reasonably incurred in connection with the Partnership's operations, including but not limited to:</w:t>
      </w:r>
    </w:p>
    <w:p>
      <w:pPr>
        <w:pStyle w:val="ListParagraph"/>
        <w:numPr>
          <w:ilvl w:val="0"/>
          <w:numId w:val="2"/>
        </w:numPr>
        <w:spacing w:after="60" w:before="60"/>
      </w:pPr>
      <w:r>
        <w:rPr>
          <w:rFonts w:ascii="Arial" w:cs="Arial" w:eastAsia="Arial" w:hAnsi="Arial"/>
          <w:color w:val="1E293B"/>
          <w:sz w:val="22"/>
          <w:szCs w:val="22"/>
        </w:rPr>
        <w:t xml:space="preserve">Legal, accounting, and audit fees;</w:t>
      </w:r>
    </w:p>
    <w:p>
      <w:pPr>
        <w:pStyle w:val="ListParagraph"/>
        <w:numPr>
          <w:ilvl w:val="0"/>
          <w:numId w:val="2"/>
        </w:numPr>
        <w:spacing w:after="60" w:before="60"/>
      </w:pPr>
      <w:r>
        <w:rPr>
          <w:rFonts w:ascii="Arial" w:cs="Arial" w:eastAsia="Arial" w:hAnsi="Arial"/>
          <w:color w:val="1E293B"/>
          <w:sz w:val="22"/>
          <w:szCs w:val="22"/>
        </w:rPr>
        <w:t xml:space="preserve">Investment-related expenses including due diligence costs;</w:t>
      </w:r>
    </w:p>
    <w:p>
      <w:pPr>
        <w:pStyle w:val="ListParagraph"/>
        <w:numPr>
          <w:ilvl w:val="0"/>
          <w:numId w:val="2"/>
        </w:numPr>
        <w:spacing w:after="60" w:before="60"/>
      </w:pPr>
      <w:r>
        <w:rPr>
          <w:rFonts w:ascii="Arial" w:cs="Arial" w:eastAsia="Arial" w:hAnsi="Arial"/>
          <w:color w:val="1E293B"/>
          <w:sz w:val="22"/>
          <w:szCs w:val="22"/>
        </w:rPr>
        <w:t xml:space="preserve">Financing costs and debt service;</w:t>
      </w:r>
    </w:p>
    <w:p>
      <w:pPr>
        <w:pStyle w:val="ListParagraph"/>
        <w:numPr>
          <w:ilvl w:val="0"/>
          <w:numId w:val="2"/>
        </w:numPr>
        <w:spacing w:after="60" w:before="60"/>
      </w:pPr>
      <w:r>
        <w:rPr>
          <w:rFonts w:ascii="Arial" w:cs="Arial" w:eastAsia="Arial" w:hAnsi="Arial"/>
          <w:color w:val="1E293B"/>
          <w:sz w:val="22"/>
          <w:szCs w:val="22"/>
        </w:rPr>
        <w:t xml:space="preserve">Taxes and governmental fees;</w:t>
      </w:r>
    </w:p>
    <w:p>
      <w:pPr>
        <w:pStyle w:val="ListParagraph"/>
        <w:numPr>
          <w:ilvl w:val="0"/>
          <w:numId w:val="2"/>
        </w:numPr>
        <w:spacing w:after="60" w:before="60"/>
      </w:pPr>
      <w:r>
        <w:rPr>
          <w:rFonts w:ascii="Arial" w:cs="Arial" w:eastAsia="Arial" w:hAnsi="Arial"/>
          <w:color w:val="1E293B"/>
          <w:sz w:val="22"/>
          <w:szCs w:val="22"/>
        </w:rPr>
        <w:t xml:space="preserve">Indemnification obligations;</w:t>
      </w:r>
    </w:p>
    <w:p>
      <w:pPr>
        <w:pStyle w:val="ListParagraph"/>
        <w:numPr>
          <w:ilvl w:val="0"/>
          <w:numId w:val="2"/>
        </w:numPr>
        <w:spacing w:after="60" w:before="60"/>
      </w:pPr>
      <w:r>
        <w:rPr>
          <w:rFonts w:ascii="Arial" w:cs="Arial" w:eastAsia="Arial" w:hAnsi="Arial"/>
          <w:color w:val="1E293B"/>
          <w:sz w:val="22"/>
          <w:szCs w:val="22"/>
        </w:rPr>
        <w:t xml:space="preserve">Technology and software costs (including AI-powered operational tools).</w:t>
      </w:r>
    </w:p>
    <w:p>
      <w:pPr>
        <w:pStyle w:val="Heading2"/>
        <w:spacing w:after="120" w:before="240"/>
      </w:pPr>
      <w:r>
        <w:rPr>
          <w:rFonts w:ascii="Arial" w:cs="Arial" w:eastAsia="Arial" w:hAnsi="Arial"/>
          <w:b/>
          <w:bCs/>
          <w:color w:val="0A1628"/>
          <w:sz w:val="24"/>
          <w:szCs w:val="24"/>
        </w:rPr>
        <w:t xml:space="preserve">Section 7.3 — Organizational Expenses</w:t>
      </w:r>
    </w:p>
    <w:p>
      <w:pPr>
        <w:spacing w:after="80" w:before="80"/>
        <w:jc w:val="both"/>
      </w:pPr>
      <w:r>
        <w:rPr>
          <w:rFonts w:ascii="Arial" w:cs="Arial" w:eastAsia="Arial" w:hAnsi="Arial"/>
          <w:color w:val="1E293B"/>
          <w:sz w:val="22"/>
          <w:szCs w:val="22"/>
        </w:rPr>
        <w:t xml:space="preserve">Organizational expenses of the Partnership shall not exceed $250,000 and shall be amortized over a sixty (60) month period for tax purposes.</w:t>
      </w:r>
    </w:p>
    <w:p>
      <w:r>
        <w:br w:type="page"/>
      </w:r>
    </w:p>
    <w:p>
      <w:pPr>
        <w:pStyle w:val="Heading1"/>
        <w:spacing w:after="160" w:before="320"/>
      </w:pPr>
      <w:r>
        <w:rPr>
          <w:rFonts w:ascii="Arial" w:cs="Arial" w:eastAsia="Arial" w:hAnsi="Arial"/>
          <w:b/>
          <w:bCs/>
          <w:color w:val="0A1628"/>
          <w:sz w:val="28"/>
          <w:szCs w:val="28"/>
        </w:rPr>
        <w:t xml:space="preserve">ARTICLE VIII — GOVERNANCE AND REPORTING</w:t>
      </w:r>
    </w:p>
    <w:p>
      <w:pPr>
        <w:pStyle w:val="Heading2"/>
        <w:spacing w:after="120" w:before="240"/>
      </w:pPr>
      <w:r>
        <w:rPr>
          <w:rFonts w:ascii="Arial" w:cs="Arial" w:eastAsia="Arial" w:hAnsi="Arial"/>
          <w:b/>
          <w:bCs/>
          <w:color w:val="0A1628"/>
          <w:sz w:val="24"/>
          <w:szCs w:val="24"/>
        </w:rPr>
        <w:t xml:space="preserve">Section 8.1 — LP Advisory Committee</w:t>
      </w:r>
    </w:p>
    <w:p>
      <w:pPr>
        <w:spacing w:after="80" w:before="80"/>
        <w:jc w:val="both"/>
      </w:pPr>
      <w:r>
        <w:rPr>
          <w:rFonts w:ascii="Arial" w:cs="Arial" w:eastAsia="Arial" w:hAnsi="Arial"/>
          <w:color w:val="1E293B"/>
          <w:sz w:val="22"/>
          <w:szCs w:val="22"/>
        </w:rPr>
        <w:t xml:space="preserve">The General Partner shall establish a Limited Partner Advisory Committee ("LPAC") consisting of representatives from Limited Partners whose aggregate commitments equal at least thirty percent (30%) of total commitments.</w:t>
      </w:r>
    </w:p>
    <w:p>
      <w:pPr>
        <w:spacing w:after="80" w:before="80"/>
        <w:jc w:val="both"/>
      </w:pPr>
      <w:r>
        <w:rPr>
          <w:rFonts w:ascii="Arial" w:cs="Arial" w:eastAsia="Arial" w:hAnsi="Arial"/>
          <w:color w:val="1E293B"/>
          <w:sz w:val="22"/>
          <w:szCs w:val="22"/>
        </w:rPr>
        <w:t xml:space="preserve">The LPAC shall have the right to review and approve:</w:t>
      </w:r>
    </w:p>
    <w:p>
      <w:pPr>
        <w:pStyle w:val="ListParagraph"/>
        <w:numPr>
          <w:ilvl w:val="0"/>
          <w:numId w:val="2"/>
        </w:numPr>
        <w:spacing w:after="60" w:before="60"/>
      </w:pPr>
      <w:r>
        <w:rPr>
          <w:rFonts w:ascii="Arial" w:cs="Arial" w:eastAsia="Arial" w:hAnsi="Arial"/>
          <w:color w:val="1E293B"/>
          <w:sz w:val="22"/>
          <w:szCs w:val="22"/>
        </w:rPr>
        <w:t xml:space="preserve">Conflicts of interest transactions;</w:t>
      </w:r>
    </w:p>
    <w:p>
      <w:pPr>
        <w:pStyle w:val="ListParagraph"/>
        <w:numPr>
          <w:ilvl w:val="0"/>
          <w:numId w:val="2"/>
        </w:numPr>
        <w:spacing w:after="60" w:before="60"/>
      </w:pPr>
      <w:r>
        <w:rPr>
          <w:rFonts w:ascii="Arial" w:cs="Arial" w:eastAsia="Arial" w:hAnsi="Arial"/>
          <w:color w:val="1E293B"/>
          <w:sz w:val="22"/>
          <w:szCs w:val="22"/>
        </w:rPr>
        <w:t xml:space="preserve">Extensions of the Commitment Period or Fund Life;</w:t>
      </w:r>
    </w:p>
    <w:p>
      <w:pPr>
        <w:pStyle w:val="ListParagraph"/>
        <w:numPr>
          <w:ilvl w:val="0"/>
          <w:numId w:val="2"/>
        </w:numPr>
        <w:spacing w:after="60" w:before="60"/>
      </w:pPr>
      <w:r>
        <w:rPr>
          <w:rFonts w:ascii="Arial" w:cs="Arial" w:eastAsia="Arial" w:hAnsi="Arial"/>
          <w:color w:val="1E293B"/>
          <w:sz w:val="22"/>
          <w:szCs w:val="22"/>
        </w:rPr>
        <w:t xml:space="preserve">Material amendments to this Agreement;</w:t>
      </w:r>
    </w:p>
    <w:p>
      <w:pPr>
        <w:pStyle w:val="ListParagraph"/>
        <w:numPr>
          <w:ilvl w:val="0"/>
          <w:numId w:val="2"/>
        </w:numPr>
        <w:spacing w:after="60" w:before="60"/>
      </w:pPr>
      <w:r>
        <w:rPr>
          <w:rFonts w:ascii="Arial" w:cs="Arial" w:eastAsia="Arial" w:hAnsi="Arial"/>
          <w:color w:val="1E293B"/>
          <w:sz w:val="22"/>
          <w:szCs w:val="22"/>
        </w:rPr>
        <w:t xml:space="preserve">Valuation methodology changes.</w:t>
      </w:r>
    </w:p>
    <w:p>
      <w:pPr>
        <w:pStyle w:val="Heading2"/>
        <w:spacing w:after="120" w:before="240"/>
      </w:pPr>
      <w:r>
        <w:rPr>
          <w:rFonts w:ascii="Arial" w:cs="Arial" w:eastAsia="Arial" w:hAnsi="Arial"/>
          <w:b/>
          <w:bCs/>
          <w:color w:val="0A1628"/>
          <w:sz w:val="24"/>
          <w:szCs w:val="24"/>
        </w:rPr>
        <w:t xml:space="preserve">Section 8.2 — Quarterly Reporting</w:t>
      </w:r>
    </w:p>
    <w:p>
      <w:pPr>
        <w:spacing w:after="80" w:before="80"/>
        <w:jc w:val="both"/>
      </w:pPr>
      <w:r>
        <w:rPr>
          <w:rFonts w:ascii="Arial" w:cs="Arial" w:eastAsia="Arial" w:hAnsi="Arial"/>
          <w:color w:val="1E293B"/>
          <w:sz w:val="22"/>
          <w:szCs w:val="22"/>
        </w:rPr>
        <w:t xml:space="preserve">Within sixty (60) days after each fiscal quarter, the General Partner shall provide each Limited Partner with a written quarterly report including:</w:t>
      </w:r>
    </w:p>
    <w:p>
      <w:pPr>
        <w:pStyle w:val="ListParagraph"/>
        <w:numPr>
          <w:ilvl w:val="0"/>
          <w:numId w:val="2"/>
        </w:numPr>
        <w:spacing w:after="60" w:before="60"/>
      </w:pPr>
      <w:r>
        <w:rPr>
          <w:rFonts w:ascii="Arial" w:cs="Arial" w:eastAsia="Arial" w:hAnsi="Arial"/>
          <w:color w:val="1E293B"/>
          <w:sz w:val="22"/>
          <w:szCs w:val="22"/>
        </w:rPr>
        <w:t xml:space="preserve">Unaudited financial statements of the Partnership;</w:t>
      </w:r>
    </w:p>
    <w:p>
      <w:pPr>
        <w:pStyle w:val="ListParagraph"/>
        <w:numPr>
          <w:ilvl w:val="0"/>
          <w:numId w:val="2"/>
        </w:numPr>
        <w:spacing w:after="60" w:before="60"/>
      </w:pPr>
      <w:r>
        <w:rPr>
          <w:rFonts w:ascii="Arial" w:cs="Arial" w:eastAsia="Arial" w:hAnsi="Arial"/>
          <w:color w:val="1E293B"/>
          <w:sz w:val="22"/>
          <w:szCs w:val="22"/>
        </w:rPr>
        <w:t xml:space="preserve">A summary of Investment activity during the quarter;</w:t>
      </w:r>
    </w:p>
    <w:p>
      <w:pPr>
        <w:pStyle w:val="ListParagraph"/>
        <w:numPr>
          <w:ilvl w:val="0"/>
          <w:numId w:val="2"/>
        </w:numPr>
        <w:spacing w:after="60" w:before="60"/>
      </w:pPr>
      <w:r>
        <w:rPr>
          <w:rFonts w:ascii="Arial" w:cs="Arial" w:eastAsia="Arial" w:hAnsi="Arial"/>
          <w:color w:val="1E293B"/>
          <w:sz w:val="22"/>
          <w:szCs w:val="22"/>
        </w:rPr>
        <w:t xml:space="preserve">Capital account statements for each Limited Partner;</w:t>
      </w:r>
    </w:p>
    <w:p>
      <w:pPr>
        <w:pStyle w:val="ListParagraph"/>
        <w:numPr>
          <w:ilvl w:val="0"/>
          <w:numId w:val="2"/>
        </w:numPr>
        <w:spacing w:after="60" w:before="60"/>
      </w:pPr>
      <w:r>
        <w:rPr>
          <w:rFonts w:ascii="Arial" w:cs="Arial" w:eastAsia="Arial" w:hAnsi="Arial"/>
          <w:color w:val="1E293B"/>
          <w:sz w:val="22"/>
          <w:szCs w:val="22"/>
        </w:rPr>
        <w:t xml:space="preserve">Portfolio company performance updates;</w:t>
      </w:r>
    </w:p>
    <w:p>
      <w:pPr>
        <w:pStyle w:val="ListParagraph"/>
        <w:numPr>
          <w:ilvl w:val="0"/>
          <w:numId w:val="2"/>
        </w:numPr>
        <w:spacing w:after="60" w:before="60"/>
      </w:pPr>
      <w:r>
        <w:rPr>
          <w:rFonts w:ascii="Arial" w:cs="Arial" w:eastAsia="Arial" w:hAnsi="Arial"/>
          <w:color w:val="1E293B"/>
          <w:sz w:val="22"/>
          <w:szCs w:val="22"/>
        </w:rPr>
        <w:t xml:space="preserve">NAV and performance metrics (IRR, MOIC, DPI, RVPI).</w:t>
      </w:r>
    </w:p>
    <w:p>
      <w:pPr>
        <w:pStyle w:val="Heading2"/>
        <w:spacing w:after="120" w:before="240"/>
      </w:pPr>
      <w:r>
        <w:rPr>
          <w:rFonts w:ascii="Arial" w:cs="Arial" w:eastAsia="Arial" w:hAnsi="Arial"/>
          <w:b/>
          <w:bCs/>
          <w:color w:val="0A1628"/>
          <w:sz w:val="24"/>
          <w:szCs w:val="24"/>
        </w:rPr>
        <w:t xml:space="preserve">Section 8.3 — Annual Reporting</w:t>
      </w:r>
    </w:p>
    <w:p>
      <w:pPr>
        <w:spacing w:after="80" w:before="80"/>
        <w:jc w:val="both"/>
      </w:pPr>
      <w:r>
        <w:rPr>
          <w:rFonts w:ascii="Arial" w:cs="Arial" w:eastAsia="Arial" w:hAnsi="Arial"/>
          <w:color w:val="1E293B"/>
          <w:sz w:val="22"/>
          <w:szCs w:val="22"/>
        </w:rPr>
        <w:t xml:space="preserve">Within one hundred twenty (120) days after each fiscal year end, the General Partner shall provide each Limited Partner with audited annual financial statements prepared in accordance with GAAP by an independent accounting firm.</w:t>
      </w:r>
    </w:p>
    <w:p>
      <w:pPr>
        <w:spacing w:after="200" w:before="200"/>
      </w:pPr>
      <w:r>
        <w:t xml:space="preserve"/>
      </w:r>
    </w:p>
    <w:p>
      <w:pPr>
        <w:pBdr>
          <w:bottom w:val="single" w:color="0A1628" w:sz="6"/>
        </w:pBdr>
        <w:spacing w:after="80" w:before="80"/>
      </w:pPr>
      <w:r>
        <w:t xml:space="preserve"/>
      </w:r>
    </w:p>
    <w:p>
      <w:pPr>
        <w:spacing w:after="100" w:before="100"/>
      </w:pPr>
      <w:r>
        <w:t xml:space="preserve"/>
      </w:r>
    </w:p>
    <w:p>
      <w:pPr>
        <w:spacing w:after="80" w:before="80"/>
        <w:jc w:val="both"/>
      </w:pPr>
      <w:r>
        <w:rPr>
          <w:rFonts w:ascii="Arial" w:cs="Arial" w:eastAsia="Arial" w:hAnsi="Arial"/>
          <w:b/>
          <w:bCs/>
          <w:color w:val="1E293B"/>
          <w:sz w:val="22"/>
          <w:szCs w:val="22"/>
        </w:rPr>
        <w:t xml:space="preserve">IN WITNESS WHEREOF, this Agreement has been executed as of the date first written above.</w:t>
      </w:r>
    </w:p>
    <w:p>
      <w:pPr>
        <w:spacing w:after="200" w:before="200"/>
      </w:pPr>
      <w:r>
        <w:t xml:space="preserve"/>
      </w:r>
    </w:p>
    <w:p>
      <w:pPr>
        <w:spacing w:after="80" w:before="80"/>
        <w:jc w:val="both"/>
      </w:pPr>
      <w:r>
        <w:rPr>
          <w:rFonts w:ascii="Arial" w:cs="Arial" w:eastAsia="Arial" w:hAnsi="Arial"/>
          <w:color w:val="1E293B"/>
          <w:sz w:val="22"/>
          <w:szCs w:val="22"/>
        </w:rPr>
        <w:t xml:space="preserve">GENERAL PARTNER:</w:t>
      </w:r>
    </w:p>
    <w:p>
      <w:pPr>
        <w:spacing w:after="160" w:before="160"/>
      </w:pPr>
      <w:r>
        <w:t xml:space="preserve"/>
      </w:r>
    </w:p>
    <w:p>
      <w:pPr>
        <w:spacing w:after="80" w:before="80"/>
        <w:jc w:val="both"/>
      </w:pPr>
      <w:r>
        <w:rPr>
          <w:rFonts w:ascii="Arial" w:cs="Arial" w:eastAsia="Arial" w:hAnsi="Arial"/>
          <w:color w:val="1E293B"/>
          <w:sz w:val="22"/>
          <w:szCs w:val="22"/>
        </w:rPr>
        <w:t xml:space="preserve">Vantara Capital GP LLC</w:t>
      </w:r>
    </w:p>
    <w:p>
      <w:pPr>
        <w:spacing w:after="80" w:before="80"/>
        <w:jc w:val="both"/>
      </w:pPr>
      <w:r>
        <w:rPr>
          <w:rFonts w:ascii="Arial" w:cs="Arial" w:eastAsia="Arial" w:hAnsi="Arial"/>
          <w:color w:val="1E293B"/>
          <w:sz w:val="22"/>
          <w:szCs w:val="22"/>
        </w:rPr>
        <w:t xml:space="preserve">By: Alex Rivera, Managing Partner</w:t>
      </w:r>
    </w:p>
    <w:p>
      <w:pPr>
        <w:spacing w:after="80" w:before="80"/>
        <w:jc w:val="both"/>
      </w:pPr>
      <w:r>
        <w:rPr>
          <w:rFonts w:ascii="Arial" w:cs="Arial" w:eastAsia="Arial" w:hAnsi="Arial"/>
          <w:color w:val="1E293B"/>
          <w:sz w:val="22"/>
          <w:szCs w:val="22"/>
        </w:rPr>
        <w:t xml:space="preserve">Date: ___________________________</w:t>
      </w:r>
    </w:p>
    <w:p>
      <w:pPr>
        <w:spacing w:after="200" w:before="200"/>
      </w:pPr>
      <w:r>
        <w:t xml:space="preserve"/>
      </w:r>
    </w:p>
    <w:p>
      <w:pPr>
        <w:spacing w:after="80" w:before="80"/>
        <w:jc w:val="both"/>
      </w:pPr>
      <w:r>
        <w:rPr>
          <w:rFonts w:ascii="Arial" w:cs="Arial" w:eastAsia="Arial" w:hAnsi="Arial"/>
          <w:color w:val="1E293B"/>
          <w:sz w:val="22"/>
          <w:szCs w:val="22"/>
        </w:rPr>
        <w:t xml:space="preserve">[SIGNATURE PAGES FOR LIMITED PARTNERS FOLLOW]</w:t>
      </w:r>
    </w:p>
    <w:p>
      <w:pPr>
        <w:spacing w:after="100" w:before="100"/>
      </w:pPr>
      <w:r>
        <w:t xml:space="preserve"/>
      </w:r>
    </w:p>
    <w:p>
      <w:pPr>
        <w:pBdr>
          <w:bottom w:val="single" w:color="0A1628" w:sz="6"/>
        </w:pBdr>
        <w:spacing w:after="80" w:before="80"/>
      </w:pPr>
      <w:r>
        <w:t xml:space="preserve"/>
      </w:r>
    </w:p>
    <w:p>
      <w:pPr>
        <w:spacing w:after="100" w:before="100"/>
      </w:pPr>
      <w:r>
        <w:t xml:space="preserve"/>
      </w:r>
    </w:p>
    <w:p>
      <w:pPr>
        <w:jc w:val="center"/>
      </w:pPr>
      <w:r>
        <w:rPr>
          <w:rFonts w:ascii="Arial" w:cs="Arial" w:eastAsia="Arial" w:hAnsi="Arial"/>
          <w:b/>
          <w:bCs/>
          <w:color w:val="B8860B"/>
          <w:sz w:val="18"/>
          <w:szCs w:val="18"/>
        </w:rPr>
        <w:t xml:space="preserve">THIS IS A FICTIONAL TEMPLATE FOR DEMONSTRATION PURPOSES ONLY.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475569"/>
        <w:sz w:val="16"/>
        <w:szCs w:val="16"/>
      </w:rPr>
      <w:t xml:space="preserve">Vantara Capital Partners  |  Fictional Demo Document  |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4"/>
      </w:pBdr>
      <w:tabs>
        <w:tab w:val="right" w:pos="9026"/>
      </w:tabs>
      <w:spacing w:after="80"/>
    </w:pPr>
    <w:r>
      <w:rPr>
        <w:rFonts w:ascii="Arial" w:cs="Arial" w:eastAsia="Arial" w:hAnsi="Arial"/>
        <w:color w:val="0A1628"/>
        <w:sz w:val="18"/>
        <w:szCs w:val="18"/>
      </w:rPr>
      <w:t xml:space="preserve">Vantara Capital Partners Fund I  |  </w:t>
    </w:r>
    <w:r>
      <w:rPr>
        <w:rFonts w:ascii="Arial" w:cs="Arial" w:eastAsia="Arial" w:hAnsi="Arial"/>
        <w:b/>
        <w:bCs/>
        <w:color w:val="0A1628"/>
        <w:sz w:val="18"/>
        <w:szCs w:val="18"/>
      </w:rPr>
      <w:t xml:space="preserve">Limited Partnership Agreement</w:t>
    </w:r>
    <w:r>
      <w:rPr>
        <w:rFonts w:ascii="Arial" w:cs="Arial" w:eastAsia="Arial" w:hAnsi="Arial"/>
        <w:b/>
        <w:bCs/>
        <w:color w:val="B8860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2026-04-16T03:21:52.973Z</dcterms:created>
  <dcterms:modified xsi:type="dcterms:W3CDTF">2026-04-16T03:21:52.973Z</dcterms:modified>
</cp:coreProperties>
</file>

<file path=docProps/custom.xml><?xml version="1.0" encoding="utf-8"?>
<Properties xmlns="http://schemas.openxmlformats.org/officeDocument/2006/custom-properties" xmlns:vt="http://schemas.openxmlformats.org/officeDocument/2006/docPropsVTypes"/>
</file>