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before="1200"/>
      </w:pPr>
      <w:r>
        <w:t xml:space="preserve"/>
      </w:r>
    </w:p>
    <w:p>
      <w:pPr>
        <w:jc w:val="center"/>
      </w:pPr>
      <w:r>
        <w:rPr>
          <w:rFonts w:ascii="Arial" w:cs="Arial" w:eastAsia="Arial" w:hAnsi="Arial"/>
          <w:b/>
          <w:bCs/>
          <w:color w:val="0A1628"/>
          <w:sz w:val="40"/>
          <w:szCs w:val="40"/>
        </w:rPr>
        <w:t xml:space="preserve">VANTARA CAPITAL PARTNERS</w:t>
      </w:r>
    </w:p>
    <w:p>
      <w:pPr>
        <w:spacing w:after="60"/>
        <w:jc w:val="center"/>
      </w:pPr>
      <w:r>
        <w:rPr>
          <w:rFonts w:ascii="Arial" w:cs="Arial" w:eastAsia="Arial" w:hAnsi="Arial"/>
          <w:color w:val="475569"/>
          <w:sz w:val="26"/>
          <w:szCs w:val="26"/>
        </w:rPr>
        <w:t xml:space="preserve">Fund I, L.P.</w:t>
      </w:r>
    </w:p>
    <w:p>
      <w:pPr>
        <w:pBdr>
          <w:bottom w:val="single" w:color="B8860B" w:sz="8"/>
        </w:pBdr>
        <w:spacing w:after="60" w:before="60"/>
      </w:pPr>
      <w:r>
        <w:t xml:space="preserve"/>
      </w:r>
    </w:p>
    <w:p>
      <w:pPr>
        <w:spacing w:after="400" w:before="400"/>
      </w:pPr>
      <w:r>
        <w:t xml:space="preserve"/>
      </w:r>
    </w:p>
    <w:p>
      <w:pPr>
        <w:spacing w:after="120" w:before="120"/>
        <w:jc w:val="center"/>
      </w:pPr>
      <w:r>
        <w:rPr>
          <w:rFonts w:ascii="Arial" w:cs="Arial" w:eastAsia="Arial" w:hAnsi="Arial"/>
          <w:b/>
          <w:bCs/>
          <w:color w:val="0A1628"/>
          <w:sz w:val="48"/>
          <w:szCs w:val="48"/>
        </w:rPr>
        <w:t xml:space="preserve">MANAGEMENT AGREEMENT</w:t>
      </w:r>
    </w:p>
    <w:p>
      <w:pPr>
        <w:spacing w:after="60"/>
        <w:jc w:val="center"/>
      </w:pPr>
      <w:r>
        <w:rPr>
          <w:rFonts w:ascii="Arial" w:cs="Arial" w:eastAsia="Arial" w:hAnsi="Arial"/>
          <w:i/>
          <w:iCs/>
          <w:color w:val="475569"/>
          <w:sz w:val="26"/>
          <w:szCs w:val="26"/>
        </w:rPr>
        <w:t xml:space="preserve">Between GP LLC and the Fund</w:t>
      </w:r>
    </w:p>
    <w:p>
      <w:pPr>
        <w:spacing w:after="400" w:before="400"/>
      </w:pPr>
      <w:r>
        <w:t xml:space="preserve"/>
      </w:r>
    </w:p>
    <w:p>
      <w:pPr>
        <w:jc w:val="center"/>
      </w:pPr>
      <w:r>
        <w:rPr>
          <w:rFonts w:ascii="Arial" w:cs="Arial" w:eastAsia="Arial" w:hAnsi="Arial"/>
          <w:color w:val="475569"/>
          <w:sz w:val="22"/>
          <w:szCs w:val="22"/>
        </w:rPr>
        <w:t xml:space="preserve">Version 1.0  |  April 15, 2026</w:t>
      </w:r>
    </w:p>
    <w:p>
      <w:pPr>
        <w:spacing w:after="600" w:before="600"/>
      </w:pPr>
      <w:r>
        <w:t xml:space="preserve"/>
      </w:r>
    </w:p>
    <w:p>
      <w:pPr>
        <w:jc w:val="center"/>
      </w:pPr>
      <w:r>
        <w:rPr>
          <w:rFonts w:ascii="Arial" w:cs="Arial" w:eastAsia="Arial" w:hAnsi="Arial"/>
          <w:b/>
          <w:bCs/>
          <w:color w:val="B8860B"/>
          <w:sz w:val="20"/>
          <w:szCs w:val="20"/>
        </w:rPr>
        <w:t xml:space="preserve">CONFIDENTIAL — FOR INTERNAL USE ONLY</w:t>
      </w:r>
    </w:p>
    <w:p>
      <w:pPr>
        <w:spacing w:after="80" w:before="80"/>
        <w:jc w:val="center"/>
      </w:pPr>
      <w:r>
        <w:rPr>
          <w:rFonts w:ascii="Arial" w:cs="Arial" w:eastAsia="Arial" w:hAnsi="Arial"/>
          <w:i/>
          <w:iCs/>
          <w:color w:val="475569"/>
          <w:sz w:val="16"/>
          <w:szCs w:val="16"/>
        </w:rPr>
        <w:t xml:space="preserve">This document is a fictional template created for educational and demonstration purposes only. It does not constitute legal advice or a binding agreement.</w:t>
      </w:r>
    </w:p>
    <w:p>
      <w:r>
        <w:br w:type="page"/>
      </w:r>
    </w:p>
    <w:p>
      <w:pPr>
        <w:pStyle w:val="Heading1"/>
        <w:spacing w:after="160" w:before="320"/>
      </w:pPr>
      <w:r>
        <w:rPr>
          <w:rFonts w:ascii="Arial" w:cs="Arial" w:eastAsia="Arial" w:hAnsi="Arial"/>
          <w:b/>
          <w:bCs/>
          <w:color w:val="0A1628"/>
          <w:sz w:val="28"/>
          <w:szCs w:val="28"/>
        </w:rPr>
        <w:t xml:space="preserve">Document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BD5E1" w:sz="1"/>
              <w:left w:val="single" w:color="CBD5E1" w:sz="1"/>
              <w:bottom w:val="single" w:color="CBD5E1" w:sz="1"/>
              <w:right w:val="single" w:color="CBD5E1" w:sz="1"/>
            </w:tcBorders>
            <w:shd w:fill="0A1628"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2340"/>
            <w:tcBorders>
              <w:top w:val="single" w:color="CBD5E1" w:sz="1"/>
              <w:left w:val="single" w:color="CBD5E1" w:sz="1"/>
              <w:bottom w:val="single" w:color="CBD5E1" w:sz="1"/>
              <w:right w:val="single" w:color="CBD5E1" w:sz="1"/>
            </w:tcBorders>
            <w:shd w:fill="0A1628" w:val="clear"/>
            <w:tcMar>
              <w:top w:type="dxa" w:w="80"/>
              <w:left w:type="dxa" w:w="120"/>
              <w:bottom w:type="dxa" w:w="80"/>
              <w:right w:type="dxa" w:w="120"/>
            </w:tcMar>
          </w:tcPr>
          <w:p>
            <w:r>
              <w:rPr>
                <w:rFonts w:ascii="Arial" w:cs="Arial" w:eastAsia="Arial" w:hAnsi="Arial"/>
                <w:b/>
                <w:bCs/>
                <w:color w:val="FFFFFF"/>
                <w:sz w:val="18"/>
                <w:szCs w:val="18"/>
              </w:rPr>
              <w:t xml:space="preserve">Details</w:t>
            </w:r>
          </w:p>
        </w:tc>
        <w:tc>
          <w:tcPr>
            <w:tcW w:type="dxa" w:w="2340"/>
            <w:tcBorders>
              <w:top w:val="single" w:color="CBD5E1" w:sz="1"/>
              <w:left w:val="single" w:color="CBD5E1" w:sz="1"/>
              <w:bottom w:val="single" w:color="CBD5E1" w:sz="1"/>
              <w:right w:val="single" w:color="CBD5E1" w:sz="1"/>
            </w:tcBorders>
            <w:shd w:fill="0A1628"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2340"/>
            <w:tcBorders>
              <w:top w:val="single" w:color="CBD5E1" w:sz="1"/>
              <w:left w:val="single" w:color="CBD5E1" w:sz="1"/>
              <w:bottom w:val="single" w:color="CBD5E1" w:sz="1"/>
              <w:right w:val="single" w:color="CBD5E1" w:sz="1"/>
            </w:tcBorders>
            <w:shd w:fill="0A1628" w:val="clear"/>
            <w:tcMar>
              <w:top w:type="dxa" w:w="80"/>
              <w:left w:type="dxa" w:w="120"/>
              <w:bottom w:type="dxa" w:w="80"/>
              <w:right w:type="dxa" w:w="120"/>
            </w:tcMar>
          </w:tcPr>
          <w:p>
            <w:r>
              <w:rPr>
                <w:rFonts w:ascii="Arial" w:cs="Arial" w:eastAsia="Arial" w:hAnsi="Arial"/>
                <w:b/>
                <w:bCs/>
                <w:color w:val="FFFFFF"/>
                <w:sz w:val="18"/>
                <w:szCs w:val="18"/>
              </w:rPr>
              <w:t xml:space="preserve">Details</w:t>
            </w:r>
          </w:p>
        </w:tc>
      </w:tr>
      <w:tr>
        <w:tc>
          <w:tcPr>
            <w:tcW w:type="dxa" w:w="2340"/>
            <w:tcBorders>
              <w:top w:val="single" w:color="CBD5E1" w:sz="1"/>
              <w:left w:val="single" w:color="CBD5E1" w:sz="1"/>
              <w:bottom w:val="single" w:color="CBD5E1" w:sz="1"/>
              <w:right w:val="single" w:color="CBD5E1" w:sz="1"/>
            </w:tcBorders>
            <w:shd w:fill="F2F4F7" w:val="clear"/>
            <w:tcMar>
              <w:top w:type="dxa" w:w="80"/>
              <w:left w:type="dxa" w:w="120"/>
              <w:bottom w:type="dxa" w:w="80"/>
              <w:right w:type="dxa" w:w="120"/>
            </w:tcMar>
          </w:tcPr>
          <w:p>
            <w:r>
              <w:rPr>
                <w:rFonts w:ascii="Arial" w:cs="Arial" w:eastAsia="Arial" w:hAnsi="Arial"/>
                <w:b w:val="false"/>
                <w:bCs w:val="false"/>
                <w:color w:val="1E293B"/>
                <w:sz w:val="20"/>
                <w:szCs w:val="20"/>
              </w:rPr>
              <w:t xml:space="preserve">Document Title</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Management Agreement</w:t>
            </w:r>
          </w:p>
        </w:tc>
        <w:tc>
          <w:tcPr>
            <w:tcW w:type="dxa" w:w="2340"/>
            <w:tcBorders>
              <w:top w:val="single" w:color="CBD5E1" w:sz="1"/>
              <w:left w:val="single" w:color="CBD5E1" w:sz="1"/>
              <w:bottom w:val="single" w:color="CBD5E1" w:sz="1"/>
              <w:right w:val="single" w:color="CBD5E1" w:sz="1"/>
            </w:tcBorders>
            <w:shd w:fill="F2F4F7" w:val="clear"/>
            <w:tcMar>
              <w:top w:type="dxa" w:w="80"/>
              <w:left w:type="dxa" w:w="120"/>
              <w:bottom w:type="dxa" w:w="80"/>
              <w:right w:type="dxa" w:w="120"/>
            </w:tcMar>
          </w:tcPr>
          <w:p>
            <w:r>
              <w:rPr>
                <w:rFonts w:ascii="Arial" w:cs="Arial" w:eastAsia="Arial" w:hAnsi="Arial"/>
                <w:b w:val="false"/>
                <w:bCs w:val="false"/>
                <w:color w:val="1E293B"/>
                <w:sz w:val="20"/>
                <w:szCs w:val="20"/>
              </w:rPr>
              <w:t xml:space="preserve">Version</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v1.0</w:t>
            </w:r>
          </w:p>
        </w:tc>
      </w:tr>
      <w:tr>
        <w:tc>
          <w:tcPr>
            <w:tcW w:type="dxa" w:w="2340"/>
            <w:tcBorders>
              <w:top w:val="single" w:color="CBD5E1" w:sz="1"/>
              <w:left w:val="single" w:color="CBD5E1" w:sz="1"/>
              <w:bottom w:val="single" w:color="CBD5E1" w:sz="1"/>
              <w:right w:val="single" w:color="CBD5E1" w:sz="1"/>
            </w:tcBorders>
            <w:shd w:fill="F2F4F7" w:val="clear"/>
            <w:tcMar>
              <w:top w:type="dxa" w:w="80"/>
              <w:left w:type="dxa" w:w="120"/>
              <w:bottom w:type="dxa" w:w="80"/>
              <w:right w:type="dxa" w:w="120"/>
            </w:tcMar>
          </w:tcPr>
          <w:p>
            <w:r>
              <w:rPr>
                <w:rFonts w:ascii="Arial" w:cs="Arial" w:eastAsia="Arial" w:hAnsi="Arial"/>
                <w:b w:val="false"/>
                <w:bCs w:val="false"/>
                <w:color w:val="1E293B"/>
                <w:sz w:val="20"/>
                <w:szCs w:val="20"/>
              </w:rPr>
              <w:t xml:space="preserve">Created By</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Jordan Kim</w:t>
            </w:r>
          </w:p>
        </w:tc>
        <w:tc>
          <w:tcPr>
            <w:tcW w:type="dxa" w:w="2340"/>
            <w:tcBorders>
              <w:top w:val="single" w:color="CBD5E1" w:sz="1"/>
              <w:left w:val="single" w:color="CBD5E1" w:sz="1"/>
              <w:bottom w:val="single" w:color="CBD5E1" w:sz="1"/>
              <w:right w:val="single" w:color="CBD5E1" w:sz="1"/>
            </w:tcBorders>
            <w:shd w:fill="F2F4F7" w:val="clear"/>
            <w:tcMar>
              <w:top w:type="dxa" w:w="80"/>
              <w:left w:type="dxa" w:w="120"/>
              <w:bottom w:type="dxa" w:w="80"/>
              <w:right w:type="dxa" w:w="120"/>
            </w:tcMar>
          </w:tcPr>
          <w:p>
            <w:r>
              <w:rPr>
                <w:rFonts w:ascii="Arial" w:cs="Arial" w:eastAsia="Arial" w:hAnsi="Arial"/>
                <w:b w:val="false"/>
                <w:bCs w:val="false"/>
                <w:color w:val="1E293B"/>
                <w:sz w:val="20"/>
                <w:szCs w:val="20"/>
              </w:rPr>
              <w:t xml:space="preserve">Created Date</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April 15, 2026</w:t>
            </w:r>
          </w:p>
        </w:tc>
      </w:tr>
      <w:tr>
        <w:tc>
          <w:tcPr>
            <w:tcW w:type="dxa" w:w="2340"/>
            <w:tcBorders>
              <w:top w:val="single" w:color="CBD5E1" w:sz="1"/>
              <w:left w:val="single" w:color="CBD5E1" w:sz="1"/>
              <w:bottom w:val="single" w:color="CBD5E1" w:sz="1"/>
              <w:right w:val="single" w:color="CBD5E1" w:sz="1"/>
            </w:tcBorders>
            <w:shd w:fill="F2F4F7" w:val="clear"/>
            <w:tcMar>
              <w:top w:type="dxa" w:w="80"/>
              <w:left w:type="dxa" w:w="120"/>
              <w:bottom w:type="dxa" w:w="80"/>
              <w:right w:type="dxa" w:w="120"/>
            </w:tcMar>
          </w:tcPr>
          <w:p>
            <w:r>
              <w:rPr>
                <w:rFonts w:ascii="Arial" w:cs="Arial" w:eastAsia="Arial" w:hAnsi="Arial"/>
                <w:b w:val="false"/>
                <w:bCs w:val="false"/>
                <w:color w:val="1E293B"/>
                <w:sz w:val="20"/>
                <w:szCs w:val="20"/>
              </w:rPr>
              <w:t xml:space="preserve">Last Modified By</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Jordan Kim</w:t>
            </w:r>
          </w:p>
        </w:tc>
        <w:tc>
          <w:tcPr>
            <w:tcW w:type="dxa" w:w="2340"/>
            <w:tcBorders>
              <w:top w:val="single" w:color="CBD5E1" w:sz="1"/>
              <w:left w:val="single" w:color="CBD5E1" w:sz="1"/>
              <w:bottom w:val="single" w:color="CBD5E1" w:sz="1"/>
              <w:right w:val="single" w:color="CBD5E1" w:sz="1"/>
            </w:tcBorders>
            <w:shd w:fill="F2F4F7" w:val="clear"/>
            <w:tcMar>
              <w:top w:type="dxa" w:w="80"/>
              <w:left w:type="dxa" w:w="120"/>
              <w:bottom w:type="dxa" w:w="80"/>
              <w:right w:type="dxa" w:w="120"/>
            </w:tcMar>
          </w:tcPr>
          <w:p>
            <w:r>
              <w:rPr>
                <w:rFonts w:ascii="Arial" w:cs="Arial" w:eastAsia="Arial" w:hAnsi="Arial"/>
                <w:b w:val="false"/>
                <w:bCs w:val="false"/>
                <w:color w:val="1E293B"/>
                <w:sz w:val="20"/>
                <w:szCs w:val="20"/>
              </w:rPr>
              <w:t xml:space="preserve">Last Modified</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April 15, 2026</w:t>
            </w:r>
          </w:p>
        </w:tc>
      </w:tr>
      <w:tr>
        <w:tc>
          <w:tcPr>
            <w:tcW w:type="dxa" w:w="2340"/>
            <w:tcBorders>
              <w:top w:val="single" w:color="CBD5E1" w:sz="1"/>
              <w:left w:val="single" w:color="CBD5E1" w:sz="1"/>
              <w:bottom w:val="single" w:color="CBD5E1" w:sz="1"/>
              <w:right w:val="single" w:color="CBD5E1" w:sz="1"/>
            </w:tcBorders>
            <w:shd w:fill="F2F4F7" w:val="clear"/>
            <w:tcMar>
              <w:top w:type="dxa" w:w="80"/>
              <w:left w:type="dxa" w:w="120"/>
              <w:bottom w:type="dxa" w:w="80"/>
              <w:right w:type="dxa" w:w="120"/>
            </w:tcMar>
          </w:tcPr>
          <w:p>
            <w:r>
              <w:rPr>
                <w:rFonts w:ascii="Arial" w:cs="Arial" w:eastAsia="Arial" w:hAnsi="Arial"/>
                <w:b w:val="false"/>
                <w:bCs w:val="false"/>
                <w:color w:val="1E293B"/>
                <w:sz w:val="20"/>
                <w:szCs w:val="20"/>
              </w:rPr>
              <w:t xml:space="preserve">Status</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Draft</w:t>
            </w:r>
          </w:p>
        </w:tc>
        <w:tc>
          <w:tcPr>
            <w:tcW w:type="dxa" w:w="2340"/>
            <w:tcBorders>
              <w:top w:val="single" w:color="CBD5E1" w:sz="1"/>
              <w:left w:val="single" w:color="CBD5E1" w:sz="1"/>
              <w:bottom w:val="single" w:color="CBD5E1" w:sz="1"/>
              <w:right w:val="single" w:color="CBD5E1" w:sz="1"/>
            </w:tcBorders>
            <w:shd w:fill="F2F4F7" w:val="clear"/>
            <w:tcMar>
              <w:top w:type="dxa" w:w="80"/>
              <w:left w:type="dxa" w:w="120"/>
              <w:bottom w:type="dxa" w:w="80"/>
              <w:right w:type="dxa" w:w="120"/>
            </w:tcMar>
          </w:tcPr>
          <w:p>
            <w:r>
              <w:rPr>
                <w:rFonts w:ascii="Arial" w:cs="Arial" w:eastAsia="Arial" w:hAnsi="Arial"/>
                <w:b w:val="false"/>
                <w:bCs w:val="false"/>
                <w:color w:val="1E293B"/>
                <w:sz w:val="20"/>
                <w:szCs w:val="20"/>
              </w:rPr>
              <w:t xml:space="preserve">Classification</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Confidential</w:t>
            </w:r>
          </w:p>
        </w:tc>
      </w:tr>
    </w:tbl>
    <w:p>
      <w:pPr>
        <w:spacing w:after="200" w:before="200"/>
      </w:pPr>
      <w:r>
        <w:t xml:space="preserve"/>
      </w:r>
    </w:p>
    <w:p>
      <w:pPr>
        <w:pStyle w:val="Heading1"/>
        <w:spacing w:after="160" w:before="320"/>
      </w:pPr>
      <w:r>
        <w:rPr>
          <w:rFonts w:ascii="Arial" w:cs="Arial" w:eastAsia="Arial" w:hAnsi="Arial"/>
          <w:b/>
          <w:bCs/>
          <w:color w:val="0A1628"/>
          <w:sz w:val="28"/>
          <w:szCs w:val="28"/>
        </w:rPr>
        <w:t xml:space="preserve">Version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560"/>
        <w:gridCol w:w="2400"/>
        <w:gridCol w:w="4200"/>
      </w:tblGrid>
      <w:tr>
        <w:tc>
          <w:tcPr>
            <w:tcBorders>
              <w:top w:val="single" w:color="CBD5E1" w:sz="1"/>
              <w:left w:val="single" w:color="CBD5E1" w:sz="1"/>
              <w:bottom w:val="single" w:color="CBD5E1" w:sz="1"/>
              <w:right w:val="single" w:color="CBD5E1" w:sz="1"/>
            </w:tcBorders>
            <w:shd w:fill="0A1628" w:val="clear"/>
            <w:tcMar>
              <w:top w:type="dxa" w:w="80"/>
              <w:left w:type="dxa" w:w="120"/>
              <w:bottom w:type="dxa" w:w="80"/>
              <w:right w:type="dxa" w:w="120"/>
            </w:tcMar>
          </w:tcPr>
          <w:p>
            <w:r>
              <w:rPr>
                <w:rFonts w:ascii="Arial" w:cs="Arial" w:eastAsia="Arial" w:hAnsi="Arial"/>
                <w:b/>
                <w:bCs/>
                <w:color w:val="FFFFFF"/>
                <w:sz w:val="18"/>
                <w:szCs w:val="18"/>
              </w:rPr>
              <w:t xml:space="preserve">Version</w:t>
            </w:r>
          </w:p>
        </w:tc>
        <w:tc>
          <w:tcPr>
            <w:tcBorders>
              <w:top w:val="single" w:color="CBD5E1" w:sz="1"/>
              <w:left w:val="single" w:color="CBD5E1" w:sz="1"/>
              <w:bottom w:val="single" w:color="CBD5E1" w:sz="1"/>
              <w:right w:val="single" w:color="CBD5E1" w:sz="1"/>
            </w:tcBorders>
            <w:shd w:fill="0A1628" w:val="clear"/>
            <w:tcMar>
              <w:top w:type="dxa" w:w="80"/>
              <w:left w:type="dxa" w:w="120"/>
              <w:bottom w:type="dxa" w:w="80"/>
              <w:right w:type="dxa" w:w="120"/>
            </w:tcMar>
          </w:tcPr>
          <w:p>
            <w:r>
              <w:rPr>
                <w:rFonts w:ascii="Arial" w:cs="Arial" w:eastAsia="Arial" w:hAnsi="Arial"/>
                <w:b/>
                <w:bCs/>
                <w:color w:val="FFFFFF"/>
                <w:sz w:val="18"/>
                <w:szCs w:val="18"/>
              </w:rPr>
              <w:t xml:space="preserve">Date</w:t>
            </w:r>
          </w:p>
        </w:tc>
        <w:tc>
          <w:tcPr>
            <w:tcBorders>
              <w:top w:val="single" w:color="CBD5E1" w:sz="1"/>
              <w:left w:val="single" w:color="CBD5E1" w:sz="1"/>
              <w:bottom w:val="single" w:color="CBD5E1" w:sz="1"/>
              <w:right w:val="single" w:color="CBD5E1" w:sz="1"/>
            </w:tcBorders>
            <w:shd w:fill="0A1628" w:val="clear"/>
            <w:tcMar>
              <w:top w:type="dxa" w:w="80"/>
              <w:left w:type="dxa" w:w="120"/>
              <w:bottom w:type="dxa" w:w="80"/>
              <w:right w:type="dxa" w:w="120"/>
            </w:tcMar>
          </w:tcPr>
          <w:p>
            <w:r>
              <w:rPr>
                <w:rFonts w:ascii="Arial" w:cs="Arial" w:eastAsia="Arial" w:hAnsi="Arial"/>
                <w:b/>
                <w:bCs/>
                <w:color w:val="FFFFFF"/>
                <w:sz w:val="18"/>
                <w:szCs w:val="18"/>
              </w:rPr>
              <w:t xml:space="preserve">Modified By</w:t>
            </w:r>
          </w:p>
        </w:tc>
        <w:tc>
          <w:tcPr>
            <w:tcBorders>
              <w:top w:val="single" w:color="CBD5E1" w:sz="1"/>
              <w:left w:val="single" w:color="CBD5E1" w:sz="1"/>
              <w:bottom w:val="single" w:color="CBD5E1" w:sz="1"/>
              <w:right w:val="single" w:color="CBD5E1" w:sz="1"/>
            </w:tcBorders>
            <w:shd w:fill="0A1628" w:val="clear"/>
            <w:tcMar>
              <w:top w:type="dxa" w:w="80"/>
              <w:left w:type="dxa" w:w="120"/>
              <w:bottom w:type="dxa" w:w="80"/>
              <w:right w:type="dxa" w:w="120"/>
            </w:tcMar>
          </w:tcPr>
          <w:p>
            <w:r>
              <w:rPr>
                <w:rFonts w:ascii="Arial" w:cs="Arial" w:eastAsia="Arial" w:hAnsi="Arial"/>
                <w:b/>
                <w:bCs/>
                <w:color w:val="FFFFFF"/>
                <w:sz w:val="18"/>
                <w:szCs w:val="18"/>
              </w:rPr>
              <w:t xml:space="preserve">Changes Made</w:t>
            </w:r>
          </w:p>
        </w:tc>
      </w:tr>
      <w:tr>
        <w:tc>
          <w:tcPr>
            <w:tcBorders>
              <w:top w:val="single" w:color="CBD5E1" w:sz="1"/>
              <w:left w:val="single" w:color="CBD5E1" w:sz="1"/>
              <w:bottom w:val="single" w:color="CBD5E1" w:sz="1"/>
              <w:right w:val="single" w:color="CBD5E1" w:sz="1"/>
            </w:tcBorders>
            <w:shd w:fill="F2F4F7" w:val="clear"/>
            <w:tcMar>
              <w:top w:type="dxa" w:w="80"/>
              <w:left w:type="dxa" w:w="120"/>
              <w:bottom w:type="dxa" w:w="80"/>
              <w:right w:type="dxa" w:w="120"/>
            </w:tcMar>
          </w:tcPr>
          <w:p>
            <w:r>
              <w:rPr>
                <w:rFonts w:ascii="Arial" w:cs="Arial" w:eastAsia="Arial" w:hAnsi="Arial"/>
                <w:color w:val="1E293B"/>
                <w:sz w:val="20"/>
                <w:szCs w:val="20"/>
              </w:rPr>
              <w:t xml:space="preserve">v1.0</w:t>
            </w:r>
          </w:p>
        </w:tc>
        <w:tc>
          <w:tcPr>
            <w:tcBorders>
              <w:top w:val="single" w:color="CBD5E1" w:sz="1"/>
              <w:left w:val="single" w:color="CBD5E1" w:sz="1"/>
              <w:bottom w:val="single" w:color="CBD5E1" w:sz="1"/>
              <w:right w:val="single" w:color="CBD5E1" w:sz="1"/>
            </w:tcBorders>
            <w:shd w:fill="F2F4F7" w:val="clear"/>
            <w:tcMar>
              <w:top w:type="dxa" w:w="80"/>
              <w:left w:type="dxa" w:w="120"/>
              <w:bottom w:type="dxa" w:w="80"/>
              <w:right w:type="dxa" w:w="120"/>
            </w:tcMar>
          </w:tcPr>
          <w:p>
            <w:r>
              <w:rPr>
                <w:rFonts w:ascii="Arial" w:cs="Arial" w:eastAsia="Arial" w:hAnsi="Arial"/>
                <w:color w:val="1E293B"/>
                <w:sz w:val="20"/>
                <w:szCs w:val="20"/>
              </w:rPr>
              <w:t xml:space="preserve">April 15, 2026</w:t>
            </w:r>
          </w:p>
        </w:tc>
        <w:tc>
          <w:tcPr>
            <w:tcBorders>
              <w:top w:val="single" w:color="CBD5E1" w:sz="1"/>
              <w:left w:val="single" w:color="CBD5E1" w:sz="1"/>
              <w:bottom w:val="single" w:color="CBD5E1" w:sz="1"/>
              <w:right w:val="single" w:color="CBD5E1" w:sz="1"/>
            </w:tcBorders>
            <w:shd w:fill="F2F4F7" w:val="clear"/>
            <w:tcMar>
              <w:top w:type="dxa" w:w="80"/>
              <w:left w:type="dxa" w:w="120"/>
              <w:bottom w:type="dxa" w:w="80"/>
              <w:right w:type="dxa" w:w="120"/>
            </w:tcMar>
          </w:tcPr>
          <w:p>
            <w:r>
              <w:rPr>
                <w:rFonts w:ascii="Arial" w:cs="Arial" w:eastAsia="Arial" w:hAnsi="Arial"/>
                <w:color w:val="1E293B"/>
                <w:sz w:val="20"/>
                <w:szCs w:val="20"/>
              </w:rPr>
              <w:t xml:space="preserve">Jordan Kim</w:t>
            </w:r>
          </w:p>
        </w:tc>
        <w:tc>
          <w:tcPr>
            <w:tcBorders>
              <w:top w:val="single" w:color="CBD5E1" w:sz="1"/>
              <w:left w:val="single" w:color="CBD5E1" w:sz="1"/>
              <w:bottom w:val="single" w:color="CBD5E1" w:sz="1"/>
              <w:right w:val="single" w:color="CBD5E1" w:sz="1"/>
            </w:tcBorders>
            <w:shd w:fill="F2F4F7" w:val="clear"/>
            <w:tcMar>
              <w:top w:type="dxa" w:w="80"/>
              <w:left w:type="dxa" w:w="120"/>
              <w:bottom w:type="dxa" w:w="80"/>
              <w:right w:type="dxa" w:w="120"/>
            </w:tcMar>
          </w:tcPr>
          <w:p>
            <w:r>
              <w:rPr>
                <w:rFonts w:ascii="Arial" w:cs="Arial" w:eastAsia="Arial" w:hAnsi="Arial"/>
                <w:color w:val="1E293B"/>
                <w:sz w:val="20"/>
                <w:szCs w:val="20"/>
              </w:rPr>
              <w:t xml:space="preserve">Initial draft created using AI — awaiting legal counsel review</w:t>
            </w:r>
          </w:p>
        </w:tc>
      </w:tr>
    </w:tbl>
    <w:p>
      <w:r>
        <w:br w:type="page"/>
      </w:r>
    </w:p>
    <w:p>
      <w:pPr>
        <w:pStyle w:val="Heading1"/>
        <w:spacing w:after="160" w:before="320"/>
      </w:pPr>
      <w:r>
        <w:rPr>
          <w:rFonts w:ascii="Arial" w:cs="Arial" w:eastAsia="Arial" w:hAnsi="Arial"/>
          <w:b/>
          <w:bCs/>
          <w:color w:val="0A1628"/>
          <w:sz w:val="28"/>
          <w:szCs w:val="28"/>
        </w:rPr>
        <w:t xml:space="preserve">PARTIES</w:t>
      </w:r>
    </w:p>
    <w:p>
      <w:pPr>
        <w:spacing w:after="80" w:before="80"/>
        <w:jc w:val="both"/>
      </w:pPr>
      <w:r>
        <w:rPr>
          <w:rFonts w:ascii="Arial" w:cs="Arial" w:eastAsia="Arial" w:hAnsi="Arial"/>
          <w:color w:val="1E293B"/>
          <w:sz w:val="22"/>
          <w:szCs w:val="22"/>
        </w:rPr>
        <w:t xml:space="preserve">This Management Agreement (this "Agreement") is entered into as of April 15, 2026, by and between:</w:t>
      </w:r>
    </w:p>
    <w:p>
      <w:pPr>
        <w:spacing w:after="80" w:before="80"/>
      </w:pPr>
      <w:r>
        <w:t xml:space="preserve"/>
      </w:r>
    </w:p>
    <w:p>
      <w:pPr>
        <w:spacing w:after="80" w:before="80"/>
        <w:jc w:val="both"/>
      </w:pPr>
      <w:r>
        <w:rPr>
          <w:rFonts w:ascii="Arial" w:cs="Arial" w:eastAsia="Arial" w:hAnsi="Arial"/>
          <w:b/>
          <w:bCs/>
          <w:color w:val="1E293B"/>
          <w:sz w:val="22"/>
          <w:szCs w:val="22"/>
        </w:rPr>
        <w:t xml:space="preserve">"Manager": Vantara Capital GP LLC, a Delaware limited liability company</w:t>
      </w:r>
    </w:p>
    <w:p>
      <w:pPr>
        <w:spacing w:after="80" w:before="80"/>
        <w:jc w:val="both"/>
      </w:pPr>
      <w:r>
        <w:rPr>
          <w:rFonts w:ascii="Arial" w:cs="Arial" w:eastAsia="Arial" w:hAnsi="Arial"/>
          <w:b/>
          <w:bCs/>
          <w:color w:val="1E293B"/>
          <w:sz w:val="22"/>
          <w:szCs w:val="22"/>
        </w:rPr>
        <w:t xml:space="preserve">"Fund": Vantara Capital Partners Fund I, L.P., a Delaware limited partnership</w:t>
      </w:r>
    </w:p>
    <w:p>
      <w:pPr>
        <w:pStyle w:val="Heading1"/>
        <w:spacing w:after="160" w:before="320"/>
      </w:pPr>
      <w:r>
        <w:rPr>
          <w:rFonts w:ascii="Arial" w:cs="Arial" w:eastAsia="Arial" w:hAnsi="Arial"/>
          <w:b/>
          <w:bCs/>
          <w:color w:val="0A1628"/>
          <w:sz w:val="28"/>
          <w:szCs w:val="28"/>
        </w:rPr>
        <w:t xml:space="preserve">ARTICLE I — SERVICES</w:t>
      </w:r>
    </w:p>
    <w:p>
      <w:pPr>
        <w:pStyle w:val="Heading2"/>
        <w:spacing w:after="120" w:before="240"/>
      </w:pPr>
      <w:r>
        <w:rPr>
          <w:rFonts w:ascii="Arial" w:cs="Arial" w:eastAsia="Arial" w:hAnsi="Arial"/>
          <w:b/>
          <w:bCs/>
          <w:color w:val="0A1628"/>
          <w:sz w:val="24"/>
          <w:szCs w:val="24"/>
        </w:rPr>
        <w:t xml:space="preserve">Section 1.1 — Investment Management Services</w:t>
      </w:r>
    </w:p>
    <w:p>
      <w:pPr>
        <w:spacing w:after="80" w:before="80"/>
        <w:jc w:val="both"/>
      </w:pPr>
      <w:r>
        <w:rPr>
          <w:rFonts w:ascii="Arial" w:cs="Arial" w:eastAsia="Arial" w:hAnsi="Arial"/>
          <w:color w:val="1E293B"/>
          <w:sz w:val="22"/>
          <w:szCs w:val="22"/>
        </w:rPr>
        <w:t xml:space="preserve">The Manager shall provide the following investment management services to the Fund:</w:t>
      </w:r>
    </w:p>
    <w:p>
      <w:pPr>
        <w:pStyle w:val="ListParagraph"/>
        <w:numPr>
          <w:ilvl w:val="0"/>
          <w:numId w:val="2"/>
        </w:numPr>
        <w:spacing w:after="60" w:before="60"/>
      </w:pPr>
      <w:r>
        <w:rPr>
          <w:rFonts w:ascii="Arial" w:cs="Arial" w:eastAsia="Arial" w:hAnsi="Arial"/>
          <w:color w:val="1E293B"/>
          <w:sz w:val="22"/>
          <w:szCs w:val="22"/>
        </w:rPr>
        <w:t xml:space="preserve">Sourcing, evaluating, and executing investment opportunities;</w:t>
      </w:r>
    </w:p>
    <w:p>
      <w:pPr>
        <w:pStyle w:val="ListParagraph"/>
        <w:numPr>
          <w:ilvl w:val="0"/>
          <w:numId w:val="2"/>
        </w:numPr>
        <w:spacing w:after="60" w:before="60"/>
      </w:pPr>
      <w:r>
        <w:rPr>
          <w:rFonts w:ascii="Arial" w:cs="Arial" w:eastAsia="Arial" w:hAnsi="Arial"/>
          <w:color w:val="1E293B"/>
          <w:sz w:val="22"/>
          <w:szCs w:val="22"/>
        </w:rPr>
        <w:t xml:space="preserve">Portfolio company monitoring and active ownership oversight;</w:t>
      </w:r>
    </w:p>
    <w:p>
      <w:pPr>
        <w:pStyle w:val="ListParagraph"/>
        <w:numPr>
          <w:ilvl w:val="0"/>
          <w:numId w:val="2"/>
        </w:numPr>
        <w:spacing w:after="60" w:before="60"/>
      </w:pPr>
      <w:r>
        <w:rPr>
          <w:rFonts w:ascii="Arial" w:cs="Arial" w:eastAsia="Arial" w:hAnsi="Arial"/>
          <w:color w:val="1E293B"/>
          <w:sz w:val="22"/>
          <w:szCs w:val="22"/>
        </w:rPr>
        <w:t xml:space="preserve">Exit strategy planning and execution;</w:t>
      </w:r>
    </w:p>
    <w:p>
      <w:pPr>
        <w:pStyle w:val="ListParagraph"/>
        <w:numPr>
          <w:ilvl w:val="0"/>
          <w:numId w:val="2"/>
        </w:numPr>
        <w:spacing w:after="60" w:before="60"/>
      </w:pPr>
      <w:r>
        <w:rPr>
          <w:rFonts w:ascii="Arial" w:cs="Arial" w:eastAsia="Arial" w:hAnsi="Arial"/>
          <w:color w:val="1E293B"/>
          <w:sz w:val="22"/>
          <w:szCs w:val="22"/>
        </w:rPr>
        <w:t xml:space="preserve">Investment committee operations and governance;</w:t>
      </w:r>
    </w:p>
    <w:p>
      <w:pPr>
        <w:pStyle w:val="ListParagraph"/>
        <w:numPr>
          <w:ilvl w:val="0"/>
          <w:numId w:val="2"/>
        </w:numPr>
        <w:spacing w:after="60" w:before="60"/>
      </w:pPr>
      <w:r>
        <w:rPr>
          <w:rFonts w:ascii="Arial" w:cs="Arial" w:eastAsia="Arial" w:hAnsi="Arial"/>
          <w:color w:val="1E293B"/>
          <w:sz w:val="22"/>
          <w:szCs w:val="22"/>
        </w:rPr>
        <w:t xml:space="preserve">Deployment and oversight of AI-powered deal sourcing and monitoring tools.</w:t>
      </w:r>
    </w:p>
    <w:p>
      <w:pPr>
        <w:pStyle w:val="Heading2"/>
        <w:spacing w:after="120" w:before="240"/>
      </w:pPr>
      <w:r>
        <w:rPr>
          <w:rFonts w:ascii="Arial" w:cs="Arial" w:eastAsia="Arial" w:hAnsi="Arial"/>
          <w:b/>
          <w:bCs/>
          <w:color w:val="0A1628"/>
          <w:sz w:val="24"/>
          <w:szCs w:val="24"/>
        </w:rPr>
        <w:t xml:space="preserve">Section 1.2 — Administrative Services</w:t>
      </w:r>
    </w:p>
    <w:p>
      <w:pPr>
        <w:spacing w:after="80" w:before="80"/>
        <w:jc w:val="both"/>
      </w:pPr>
      <w:r>
        <w:rPr>
          <w:rFonts w:ascii="Arial" w:cs="Arial" w:eastAsia="Arial" w:hAnsi="Arial"/>
          <w:color w:val="1E293B"/>
          <w:sz w:val="22"/>
          <w:szCs w:val="22"/>
        </w:rPr>
        <w:t xml:space="preserve">The Manager shall provide the following administrative services:</w:t>
      </w:r>
    </w:p>
    <w:p>
      <w:pPr>
        <w:pStyle w:val="ListParagraph"/>
        <w:numPr>
          <w:ilvl w:val="0"/>
          <w:numId w:val="2"/>
        </w:numPr>
        <w:spacing w:after="60" w:before="60"/>
      </w:pPr>
      <w:r>
        <w:rPr>
          <w:rFonts w:ascii="Arial" w:cs="Arial" w:eastAsia="Arial" w:hAnsi="Arial"/>
          <w:color w:val="1E293B"/>
          <w:sz w:val="22"/>
          <w:szCs w:val="22"/>
        </w:rPr>
        <w:t xml:space="preserve">Fund accounting and financial reporting (including AI-assisted journal entry preparation);</w:t>
      </w:r>
    </w:p>
    <w:p>
      <w:pPr>
        <w:pStyle w:val="ListParagraph"/>
        <w:numPr>
          <w:ilvl w:val="0"/>
          <w:numId w:val="2"/>
        </w:numPr>
        <w:spacing w:after="60" w:before="60"/>
      </w:pPr>
      <w:r>
        <w:rPr>
          <w:rFonts w:ascii="Arial" w:cs="Arial" w:eastAsia="Arial" w:hAnsi="Arial"/>
          <w:color w:val="1E293B"/>
          <w:sz w:val="22"/>
          <w:szCs w:val="22"/>
        </w:rPr>
        <w:t xml:space="preserve">LP communications and quarterly/annual reporting;</w:t>
      </w:r>
    </w:p>
    <w:p>
      <w:pPr>
        <w:pStyle w:val="ListParagraph"/>
        <w:numPr>
          <w:ilvl w:val="0"/>
          <w:numId w:val="2"/>
        </w:numPr>
        <w:spacing w:after="60" w:before="60"/>
      </w:pPr>
      <w:r>
        <w:rPr>
          <w:rFonts w:ascii="Arial" w:cs="Arial" w:eastAsia="Arial" w:hAnsi="Arial"/>
          <w:color w:val="1E293B"/>
          <w:sz w:val="22"/>
          <w:szCs w:val="22"/>
        </w:rPr>
        <w:t xml:space="preserve">Regulatory compliance and Form ADV maintenance;</w:t>
      </w:r>
    </w:p>
    <w:p>
      <w:pPr>
        <w:pStyle w:val="ListParagraph"/>
        <w:numPr>
          <w:ilvl w:val="0"/>
          <w:numId w:val="2"/>
        </w:numPr>
        <w:spacing w:after="60" w:before="60"/>
      </w:pPr>
      <w:r>
        <w:rPr>
          <w:rFonts w:ascii="Arial" w:cs="Arial" w:eastAsia="Arial" w:hAnsi="Arial"/>
          <w:color w:val="1E293B"/>
          <w:sz w:val="22"/>
          <w:szCs w:val="22"/>
        </w:rPr>
        <w:t xml:space="preserve">Tax preparation coordination with Fund tax advisors;</w:t>
      </w:r>
    </w:p>
    <w:p>
      <w:pPr>
        <w:pStyle w:val="ListParagraph"/>
        <w:numPr>
          <w:ilvl w:val="0"/>
          <w:numId w:val="2"/>
        </w:numPr>
        <w:spacing w:after="60" w:before="60"/>
      </w:pPr>
      <w:r>
        <w:rPr>
          <w:rFonts w:ascii="Arial" w:cs="Arial" w:eastAsia="Arial" w:hAnsi="Arial"/>
          <w:color w:val="1E293B"/>
          <w:sz w:val="22"/>
          <w:szCs w:val="22"/>
        </w:rPr>
        <w:t xml:space="preserve">Maintenance of the Fund's intranet portal and document management system;</w:t>
      </w:r>
    </w:p>
    <w:p>
      <w:pPr>
        <w:pStyle w:val="ListParagraph"/>
        <w:numPr>
          <w:ilvl w:val="0"/>
          <w:numId w:val="2"/>
        </w:numPr>
        <w:spacing w:after="60" w:before="60"/>
      </w:pPr>
      <w:r>
        <w:rPr>
          <w:rFonts w:ascii="Arial" w:cs="Arial" w:eastAsia="Arial" w:hAnsi="Arial"/>
          <w:color w:val="1E293B"/>
          <w:sz w:val="22"/>
          <w:szCs w:val="22"/>
        </w:rPr>
        <w:t xml:space="preserve">Treasury management and capital call administration.</w:t>
      </w:r>
    </w:p>
    <w:p>
      <w:pPr>
        <w:pStyle w:val="Heading2"/>
        <w:spacing w:after="120" w:before="240"/>
      </w:pPr>
      <w:r>
        <w:rPr>
          <w:rFonts w:ascii="Arial" w:cs="Arial" w:eastAsia="Arial" w:hAnsi="Arial"/>
          <w:b/>
          <w:bCs/>
          <w:color w:val="0A1628"/>
          <w:sz w:val="24"/>
          <w:szCs w:val="24"/>
        </w:rPr>
        <w:t xml:space="preserve">Section 1.3 — AI-Powered Operations</w:t>
      </w:r>
    </w:p>
    <w:p>
      <w:pPr>
        <w:spacing w:after="80" w:before="80"/>
        <w:jc w:val="both"/>
      </w:pPr>
      <w:r>
        <w:rPr>
          <w:rFonts w:ascii="Arial" w:cs="Arial" w:eastAsia="Arial" w:hAnsi="Arial"/>
          <w:color w:val="1E293B"/>
          <w:sz w:val="22"/>
          <w:szCs w:val="22"/>
        </w:rPr>
        <w:t xml:space="preserve">The Manager shall maintain and operate the following AI-powered operational tools on behalf of the Fund:</w:t>
      </w:r>
    </w:p>
    <w:p>
      <w:pPr>
        <w:pStyle w:val="ListParagraph"/>
        <w:numPr>
          <w:ilvl w:val="0"/>
          <w:numId w:val="2"/>
        </w:numPr>
        <w:spacing w:after="60" w:before="60"/>
      </w:pPr>
      <w:r>
        <w:rPr>
          <w:rFonts w:ascii="Arial" w:cs="Arial" w:eastAsia="Arial" w:hAnsi="Arial"/>
          <w:color w:val="1E293B"/>
          <w:sz w:val="22"/>
          <w:szCs w:val="22"/>
        </w:rPr>
        <w:t xml:space="preserve">Deal Sourcing Agent: Automated CIM review and opportunity scoring;</w:t>
      </w:r>
    </w:p>
    <w:p>
      <w:pPr>
        <w:pStyle w:val="ListParagraph"/>
        <w:numPr>
          <w:ilvl w:val="0"/>
          <w:numId w:val="2"/>
        </w:numPr>
        <w:spacing w:after="60" w:before="60"/>
      </w:pPr>
      <w:r>
        <w:rPr>
          <w:rFonts w:ascii="Arial" w:cs="Arial" w:eastAsia="Arial" w:hAnsi="Arial"/>
          <w:color w:val="1E293B"/>
          <w:sz w:val="22"/>
          <w:szCs w:val="22"/>
        </w:rPr>
        <w:t xml:space="preserve">Fund Accounting Agent: Journal entry preparation and NAV calculation;</w:t>
      </w:r>
    </w:p>
    <w:p>
      <w:pPr>
        <w:pStyle w:val="ListParagraph"/>
        <w:numPr>
          <w:ilvl w:val="0"/>
          <w:numId w:val="2"/>
        </w:numPr>
        <w:spacing w:after="60" w:before="60"/>
      </w:pPr>
      <w:r>
        <w:rPr>
          <w:rFonts w:ascii="Arial" w:cs="Arial" w:eastAsia="Arial" w:hAnsi="Arial"/>
          <w:color w:val="1E293B"/>
          <w:sz w:val="22"/>
          <w:szCs w:val="22"/>
        </w:rPr>
        <w:t xml:space="preserve">Portfolio Monitoring Agent: Monthly financial analysis and variance reporting;</w:t>
      </w:r>
    </w:p>
    <w:p>
      <w:pPr>
        <w:pStyle w:val="ListParagraph"/>
        <w:numPr>
          <w:ilvl w:val="0"/>
          <w:numId w:val="2"/>
        </w:numPr>
        <w:spacing w:after="60" w:before="60"/>
      </w:pPr>
      <w:r>
        <w:rPr>
          <w:rFonts w:ascii="Arial" w:cs="Arial" w:eastAsia="Arial" w:hAnsi="Arial"/>
          <w:color w:val="1E293B"/>
          <w:sz w:val="22"/>
          <w:szCs w:val="22"/>
        </w:rPr>
        <w:t xml:space="preserve">LP Reporting Agent: Automated quarterly letter and report generation;</w:t>
      </w:r>
    </w:p>
    <w:p>
      <w:pPr>
        <w:pStyle w:val="ListParagraph"/>
        <w:numPr>
          <w:ilvl w:val="0"/>
          <w:numId w:val="2"/>
        </w:numPr>
        <w:spacing w:after="60" w:before="60"/>
      </w:pPr>
      <w:r>
        <w:rPr>
          <w:rFonts w:ascii="Arial" w:cs="Arial" w:eastAsia="Arial" w:hAnsi="Arial"/>
          <w:color w:val="1E293B"/>
          <w:sz w:val="22"/>
          <w:szCs w:val="22"/>
        </w:rPr>
        <w:t xml:space="preserve">Compliance Agent: Regulatory calendar monitoring and filing preparation.</w:t>
      </w:r>
    </w:p>
    <w:p>
      <w:pPr>
        <w:spacing w:after="80" w:before="80"/>
        <w:jc w:val="both"/>
      </w:pPr>
      <w:r>
        <w:rPr>
          <w:rFonts w:ascii="Arial" w:cs="Arial" w:eastAsia="Arial" w:hAnsi="Arial"/>
          <w:color w:val="1E293B"/>
          <w:sz w:val="22"/>
          <w:szCs w:val="22"/>
        </w:rPr>
        <w:t xml:space="preserve">All AI-generated outputs shall be reviewed and approved by authorized Fund personnel prior to finalization.</w:t>
      </w:r>
    </w:p>
    <w:p>
      <w:pPr>
        <w:pStyle w:val="Heading1"/>
        <w:spacing w:after="160" w:before="320"/>
      </w:pPr>
      <w:r>
        <w:rPr>
          <w:rFonts w:ascii="Arial" w:cs="Arial" w:eastAsia="Arial" w:hAnsi="Arial"/>
          <w:b/>
          <w:bCs/>
          <w:color w:val="0A1628"/>
          <w:sz w:val="28"/>
          <w:szCs w:val="28"/>
        </w:rPr>
        <w:t xml:space="preserve">ARTICLE II — MANAGEMENT FEE</w:t>
      </w:r>
    </w:p>
    <w:p>
      <w:pPr>
        <w:pStyle w:val="Heading2"/>
        <w:spacing w:after="120" w:before="240"/>
      </w:pPr>
      <w:r>
        <w:rPr>
          <w:rFonts w:ascii="Arial" w:cs="Arial" w:eastAsia="Arial" w:hAnsi="Arial"/>
          <w:b/>
          <w:bCs/>
          <w:color w:val="0A1628"/>
          <w:sz w:val="24"/>
          <w:szCs w:val="24"/>
        </w:rPr>
        <w:t xml:space="preserve">Section 2.1 — Fee Amount</w:t>
      </w:r>
    </w:p>
    <w:p>
      <w:pPr>
        <w:spacing w:after="80" w:before="80"/>
        <w:jc w:val="both"/>
      </w:pPr>
      <w:r>
        <w:rPr>
          <w:rFonts w:ascii="Arial" w:cs="Arial" w:eastAsia="Arial" w:hAnsi="Arial"/>
          <w:color w:val="1E293B"/>
          <w:sz w:val="22"/>
          <w:szCs w:val="22"/>
        </w:rPr>
        <w:t xml:space="preserve">In consideration for the services provided hereunder, the Fund shall pay the Manager an annual management fee calculated as follows:</w:t>
      </w:r>
    </w:p>
    <w:p>
      <w:pPr>
        <w:pStyle w:val="ListParagraph"/>
        <w:numPr>
          <w:ilvl w:val="0"/>
          <w:numId w:val="2"/>
        </w:numPr>
        <w:spacing w:after="60" w:before="60"/>
      </w:pPr>
      <w:r>
        <w:rPr>
          <w:rFonts w:ascii="Arial" w:cs="Arial" w:eastAsia="Arial" w:hAnsi="Arial"/>
          <w:color w:val="1E293B"/>
          <w:sz w:val="22"/>
          <w:szCs w:val="22"/>
        </w:rPr>
        <w:t xml:space="preserve">During the Commitment Period: 2.0% of aggregate committed capital ($1,000,000 per annum);</w:t>
      </w:r>
    </w:p>
    <w:p>
      <w:pPr>
        <w:pStyle w:val="ListParagraph"/>
        <w:numPr>
          <w:ilvl w:val="0"/>
          <w:numId w:val="2"/>
        </w:numPr>
        <w:spacing w:after="60" w:before="60"/>
      </w:pPr>
      <w:r>
        <w:rPr>
          <w:rFonts w:ascii="Arial" w:cs="Arial" w:eastAsia="Arial" w:hAnsi="Arial"/>
          <w:color w:val="1E293B"/>
          <w:sz w:val="22"/>
          <w:szCs w:val="22"/>
        </w:rPr>
        <w:t xml:space="preserve">Post-Commitment Period: 2.0% of aggregate invested capital (cost basis of unrealized investments).</w:t>
      </w:r>
    </w:p>
    <w:p>
      <w:pPr>
        <w:pStyle w:val="Heading2"/>
        <w:spacing w:after="120" w:before="240"/>
      </w:pPr>
      <w:r>
        <w:rPr>
          <w:rFonts w:ascii="Arial" w:cs="Arial" w:eastAsia="Arial" w:hAnsi="Arial"/>
          <w:b/>
          <w:bCs/>
          <w:color w:val="0A1628"/>
          <w:sz w:val="24"/>
          <w:szCs w:val="24"/>
        </w:rPr>
        <w:t xml:space="preserve">Section 2.2 — Payment Schedule</w:t>
      </w:r>
    </w:p>
    <w:p>
      <w:pPr>
        <w:spacing w:after="80" w:before="80"/>
        <w:jc w:val="both"/>
      </w:pPr>
      <w:r>
        <w:rPr>
          <w:rFonts w:ascii="Arial" w:cs="Arial" w:eastAsia="Arial" w:hAnsi="Arial"/>
          <w:color w:val="1E293B"/>
          <w:sz w:val="22"/>
          <w:szCs w:val="22"/>
        </w:rPr>
        <w:t xml:space="preserve">The Management Fee shall be paid quarterly in advance, on the first business day of each calendar quarter. The Manager shall invoice the Fund for each quarterly installment.</w:t>
      </w:r>
    </w:p>
    <w:p>
      <w:pPr>
        <w:pStyle w:val="Heading2"/>
        <w:spacing w:after="120" w:before="240"/>
      </w:pPr>
      <w:r>
        <w:rPr>
          <w:rFonts w:ascii="Arial" w:cs="Arial" w:eastAsia="Arial" w:hAnsi="Arial"/>
          <w:b/>
          <w:bCs/>
          <w:color w:val="0A1628"/>
          <w:sz w:val="24"/>
          <w:szCs w:val="24"/>
        </w:rPr>
        <w:t xml:space="preserve">Section 2.3 — Fee Offset</w:t>
      </w:r>
    </w:p>
    <w:p>
      <w:pPr>
        <w:spacing w:after="80" w:before="80"/>
        <w:jc w:val="both"/>
      </w:pPr>
      <w:r>
        <w:rPr>
          <w:rFonts w:ascii="Arial" w:cs="Arial" w:eastAsia="Arial" w:hAnsi="Arial"/>
          <w:color w:val="1E293B"/>
          <w:sz w:val="22"/>
          <w:szCs w:val="22"/>
        </w:rPr>
        <w:t xml:space="preserve">Fifty percent (50%) of any transaction fees, monitoring fees, or director's fees received by the Manager or its affiliates from Portfolio Companies shall reduce the Management Fee payable to the Manager.</w:t>
      </w:r>
    </w:p>
    <w:p>
      <w:pPr>
        <w:pStyle w:val="Heading1"/>
        <w:spacing w:after="160" w:before="320"/>
      </w:pPr>
      <w:r>
        <w:rPr>
          <w:rFonts w:ascii="Arial" w:cs="Arial" w:eastAsia="Arial" w:hAnsi="Arial"/>
          <w:b/>
          <w:bCs/>
          <w:color w:val="0A1628"/>
          <w:sz w:val="28"/>
          <w:szCs w:val="28"/>
        </w:rPr>
        <w:t xml:space="preserve">ARTICLE III — TERM AND TERMINATION</w:t>
      </w:r>
    </w:p>
    <w:p>
      <w:pPr>
        <w:pStyle w:val="Heading2"/>
        <w:spacing w:after="120" w:before="240"/>
      </w:pPr>
      <w:r>
        <w:rPr>
          <w:rFonts w:ascii="Arial" w:cs="Arial" w:eastAsia="Arial" w:hAnsi="Arial"/>
          <w:b/>
          <w:bCs/>
          <w:color w:val="0A1628"/>
          <w:sz w:val="24"/>
          <w:szCs w:val="24"/>
        </w:rPr>
        <w:t xml:space="preserve">Section 3.1 — Term</w:t>
      </w:r>
    </w:p>
    <w:p>
      <w:pPr>
        <w:spacing w:after="80" w:before="80"/>
        <w:jc w:val="both"/>
      </w:pPr>
      <w:r>
        <w:rPr>
          <w:rFonts w:ascii="Arial" w:cs="Arial" w:eastAsia="Arial" w:hAnsi="Arial"/>
          <w:color w:val="1E293B"/>
          <w:sz w:val="22"/>
          <w:szCs w:val="22"/>
        </w:rPr>
        <w:t xml:space="preserve">This Agreement shall remain in effect for the duration of the Fund's life, including any permitted extensions, unless earlier terminated in accordance with Section 3.2.</w:t>
      </w:r>
    </w:p>
    <w:p>
      <w:pPr>
        <w:pStyle w:val="Heading2"/>
        <w:spacing w:after="120" w:before="240"/>
      </w:pPr>
      <w:r>
        <w:rPr>
          <w:rFonts w:ascii="Arial" w:cs="Arial" w:eastAsia="Arial" w:hAnsi="Arial"/>
          <w:b/>
          <w:bCs/>
          <w:color w:val="0A1628"/>
          <w:sz w:val="24"/>
          <w:szCs w:val="24"/>
        </w:rPr>
        <w:t xml:space="preserve">Section 3.2 — Termination</w:t>
      </w:r>
    </w:p>
    <w:p>
      <w:pPr>
        <w:spacing w:after="80" w:before="80"/>
        <w:jc w:val="both"/>
      </w:pPr>
      <w:r>
        <w:rPr>
          <w:rFonts w:ascii="Arial" w:cs="Arial" w:eastAsia="Arial" w:hAnsi="Arial"/>
          <w:color w:val="1E293B"/>
          <w:sz w:val="22"/>
          <w:szCs w:val="22"/>
        </w:rPr>
        <w:t xml:space="preserve">This Agreement may be terminated:</w:t>
      </w:r>
    </w:p>
    <w:p>
      <w:pPr>
        <w:pStyle w:val="ListParagraph"/>
        <w:numPr>
          <w:ilvl w:val="0"/>
          <w:numId w:val="2"/>
        </w:numPr>
        <w:spacing w:after="60" w:before="60"/>
      </w:pPr>
      <w:r>
        <w:rPr>
          <w:rFonts w:ascii="Arial" w:cs="Arial" w:eastAsia="Arial" w:hAnsi="Arial"/>
          <w:color w:val="1E293B"/>
          <w:sz w:val="22"/>
          <w:szCs w:val="22"/>
        </w:rPr>
        <w:t xml:space="preserve">By a vote of Limited Partners holding two-thirds (2/3) of the outstanding Interests, for cause (including fraud, gross negligence, or willful misconduct);</w:t>
      </w:r>
    </w:p>
    <w:p>
      <w:pPr>
        <w:pStyle w:val="ListParagraph"/>
        <w:numPr>
          <w:ilvl w:val="0"/>
          <w:numId w:val="2"/>
        </w:numPr>
        <w:spacing w:after="60" w:before="60"/>
      </w:pPr>
      <w:r>
        <w:rPr>
          <w:rFonts w:ascii="Arial" w:cs="Arial" w:eastAsia="Arial" w:hAnsi="Arial"/>
          <w:color w:val="1E293B"/>
          <w:sz w:val="22"/>
          <w:szCs w:val="22"/>
        </w:rPr>
        <w:t xml:space="preserve">Automatically upon dissolution of the Fund;</w:t>
      </w:r>
    </w:p>
    <w:p>
      <w:pPr>
        <w:pStyle w:val="ListParagraph"/>
        <w:numPr>
          <w:ilvl w:val="0"/>
          <w:numId w:val="2"/>
        </w:numPr>
        <w:spacing w:after="60" w:before="60"/>
      </w:pPr>
      <w:r>
        <w:rPr>
          <w:rFonts w:ascii="Arial" w:cs="Arial" w:eastAsia="Arial" w:hAnsi="Arial"/>
          <w:color w:val="1E293B"/>
          <w:sz w:val="22"/>
          <w:szCs w:val="22"/>
        </w:rPr>
        <w:t xml:space="preserve">By mutual written agreement of the Manager and Limited Partners representing a majority of Interests.</w:t>
      </w:r>
    </w:p>
    <w:p>
      <w:pPr>
        <w:pStyle w:val="Heading1"/>
        <w:spacing w:after="160" w:before="320"/>
      </w:pPr>
      <w:r>
        <w:rPr>
          <w:rFonts w:ascii="Arial" w:cs="Arial" w:eastAsia="Arial" w:hAnsi="Arial"/>
          <w:b/>
          <w:bCs/>
          <w:color w:val="0A1628"/>
          <w:sz w:val="28"/>
          <w:szCs w:val="28"/>
        </w:rPr>
        <w:t xml:space="preserve">ARTICLE IV — LIABILITY AND INDEMNIFICATION</w:t>
      </w:r>
    </w:p>
    <w:p>
      <w:pPr>
        <w:pStyle w:val="Heading2"/>
        <w:spacing w:after="120" w:before="240"/>
      </w:pPr>
      <w:r>
        <w:rPr>
          <w:rFonts w:ascii="Arial" w:cs="Arial" w:eastAsia="Arial" w:hAnsi="Arial"/>
          <w:b/>
          <w:bCs/>
          <w:color w:val="0A1628"/>
          <w:sz w:val="24"/>
          <w:szCs w:val="24"/>
        </w:rPr>
        <w:t xml:space="preserve">Section 4.1 — Standard of Care</w:t>
      </w:r>
    </w:p>
    <w:p>
      <w:pPr>
        <w:spacing w:after="80" w:before="80"/>
        <w:jc w:val="both"/>
      </w:pPr>
      <w:r>
        <w:rPr>
          <w:rFonts w:ascii="Arial" w:cs="Arial" w:eastAsia="Arial" w:hAnsi="Arial"/>
          <w:color w:val="1E293B"/>
          <w:sz w:val="22"/>
          <w:szCs w:val="22"/>
        </w:rPr>
        <w:t xml:space="preserve">The Manager shall perform its duties hereunder in good faith and in a manner it reasonably believes to be in the best interests of the Fund and its Limited Partners.</w:t>
      </w:r>
    </w:p>
    <w:p>
      <w:pPr>
        <w:pStyle w:val="Heading2"/>
        <w:spacing w:after="120" w:before="240"/>
      </w:pPr>
      <w:r>
        <w:rPr>
          <w:rFonts w:ascii="Arial" w:cs="Arial" w:eastAsia="Arial" w:hAnsi="Arial"/>
          <w:b/>
          <w:bCs/>
          <w:color w:val="0A1628"/>
          <w:sz w:val="24"/>
          <w:szCs w:val="24"/>
        </w:rPr>
        <w:t xml:space="preserve">Section 4.2 — Indemnification</w:t>
      </w:r>
    </w:p>
    <w:p>
      <w:pPr>
        <w:spacing w:after="80" w:before="80"/>
        <w:jc w:val="both"/>
      </w:pPr>
      <w:r>
        <w:rPr>
          <w:rFonts w:ascii="Arial" w:cs="Arial" w:eastAsia="Arial" w:hAnsi="Arial"/>
          <w:color w:val="1E293B"/>
          <w:sz w:val="22"/>
          <w:szCs w:val="22"/>
        </w:rPr>
        <w:t xml:space="preserve">The Fund shall indemnify and hold harmless the Manager, its members, officers, and employees (each, an "Indemnified Person") against any losses, claims, damages, or liabilities arising from their activities on behalf of the Fund, provided that such losses did not result from the Indemnified Person's gross negligence, fraud, or willful misconduct.</w:t>
      </w:r>
    </w:p>
    <w:p>
      <w:pPr>
        <w:spacing w:after="200" w:before="200"/>
      </w:pPr>
      <w:r>
        <w:t xml:space="preserve"/>
      </w:r>
    </w:p>
    <w:p>
      <w:pPr>
        <w:pBdr>
          <w:bottom w:val="single" w:color="0A1628" w:sz="6"/>
        </w:pBdr>
        <w:spacing w:after="80" w:before="80"/>
      </w:pPr>
      <w:r>
        <w:t xml:space="preserve"/>
      </w:r>
    </w:p>
    <w:p>
      <w:pPr>
        <w:jc w:val="center"/>
      </w:pPr>
      <w:r>
        <w:rPr>
          <w:rFonts w:ascii="Arial" w:cs="Arial" w:eastAsia="Arial" w:hAnsi="Arial"/>
          <w:b/>
          <w:bCs/>
          <w:color w:val="B8860B"/>
          <w:sz w:val="18"/>
          <w:szCs w:val="18"/>
        </w:rPr>
        <w:t xml:space="preserve">THIS IS A FICTIONAL TEMPLATE FOR DEMONSTRATION PURPOSES ONLY. NOT LEGAL ADVICE.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pBdr>
      <w:tabs>
        <w:tab w:val="right" w:pos="9026"/>
      </w:tabs>
      <w:spacing w:before="80"/>
    </w:pPr>
    <w:r>
      <w:rPr>
        <w:rFonts w:ascii="Arial" w:cs="Arial" w:eastAsia="Arial" w:hAnsi="Arial"/>
        <w:color w:val="475569"/>
        <w:sz w:val="16"/>
        <w:szCs w:val="16"/>
      </w:rPr>
      <w:t xml:space="preserve">Vantara Capital Partners  |  Fictional Demo Document  |  </w:t>
    </w:r>
    <w:r>
      <w:rPr>
        <w:rFonts w:ascii="Arial" w:cs="Arial" w:eastAsia="Arial" w:hAnsi="Arial"/>
        <w:color w:val="475569"/>
        <w:sz w:val="16"/>
        <w:szCs w:val="16"/>
      </w:rPr>
      <w:t xml:space="preserve">Page </w:t>
    </w:r>
    <w:r>
      <w:rPr>
        <w:rFonts w:ascii="Arial" w:cs="Arial" w:eastAsia="Arial" w:hAnsi="Arial"/>
        <w:color w:val="475569"/>
        <w:sz w:val="16"/>
        <w:szCs w:val="16"/>
      </w:rPr>
      <w:fldChar w:fldCharType="begin"/>
      <w:instrText xml:space="preserve">PAGE</w:instrText>
      <w:fldChar w:fldCharType="separate"/>
      <w:fldChar w:fldCharType="end"/>
    </w:r>
    <w:r>
      <w:rPr>
        <w:rFonts w:ascii="Arial" w:cs="Arial" w:eastAsia="Arial" w:hAnsi="Arial"/>
        <w:color w:val="475569"/>
        <w:sz w:val="16"/>
        <w:szCs w:val="16"/>
      </w:rPr>
      <w:t xml:space="preserve"> of </w:t>
    </w:r>
    <w:r>
      <w:rPr>
        <w:rFonts w:ascii="Arial" w:cs="Arial" w:eastAsia="Arial" w:hAnsi="Arial"/>
        <w:color w:val="47556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A1628" w:sz="4"/>
      </w:pBdr>
      <w:tabs>
        <w:tab w:val="right" w:pos="9026"/>
      </w:tabs>
      <w:spacing w:after="80"/>
    </w:pPr>
    <w:r>
      <w:rPr>
        <w:rFonts w:ascii="Arial" w:cs="Arial" w:eastAsia="Arial" w:hAnsi="Arial"/>
        <w:color w:val="0A1628"/>
        <w:sz w:val="18"/>
        <w:szCs w:val="18"/>
      </w:rPr>
      <w:t xml:space="preserve">Vantara Capital Partners Fund I  |  </w:t>
    </w:r>
    <w:r>
      <w:rPr>
        <w:rFonts w:ascii="Arial" w:cs="Arial" w:eastAsia="Arial" w:hAnsi="Arial"/>
        <w:b/>
        <w:bCs/>
        <w:color w:val="0A1628"/>
        <w:sz w:val="18"/>
        <w:szCs w:val="18"/>
      </w:rPr>
      <w:t xml:space="preserve">Management Agreement</w:t>
    </w:r>
    <w:r>
      <w:rPr>
        <w:rFonts w:ascii="Arial" w:cs="Arial" w:eastAsia="Arial" w:hAnsi="Arial"/>
        <w:b/>
        <w:bCs/>
        <w:color w:val="B8860B"/>
        <w:sz w:val="18"/>
        <w:szCs w:val="18"/>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90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0A1628"/>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0A162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2026-04-16T03:21:53.164Z</dcterms:created>
  <dcterms:modified xsi:type="dcterms:W3CDTF">2026-04-16T03:21:53.164Z</dcterms:modified>
</cp:coreProperties>
</file>

<file path=docProps/custom.xml><?xml version="1.0" encoding="utf-8"?>
<Properties xmlns="http://schemas.openxmlformats.org/officeDocument/2006/custom-properties" xmlns:vt="http://schemas.openxmlformats.org/officeDocument/2006/docPropsVTypes"/>
</file>