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jc w:val="center"/>
      </w:pPr>
      <w:r>
        <w:rPr>
          <w:rFonts w:ascii="Arial" w:cs="Arial" w:eastAsia="Arial" w:hAnsi="Arial"/>
          <w:b/>
          <w:bCs/>
          <w:color w:val="0A1628"/>
          <w:sz w:val="40"/>
          <w:szCs w:val="40"/>
        </w:rPr>
        <w:t xml:space="preserve">VANTARA CAPITAL PARTNERS</w:t>
      </w:r>
    </w:p>
    <w:p>
      <w:pPr>
        <w:spacing w:after="60"/>
        <w:jc w:val="center"/>
      </w:pPr>
      <w:r>
        <w:rPr>
          <w:rFonts w:ascii="Arial" w:cs="Arial" w:eastAsia="Arial" w:hAnsi="Arial"/>
          <w:color w:val="475569"/>
          <w:sz w:val="26"/>
          <w:szCs w:val="26"/>
        </w:rPr>
        <w:t xml:space="preserve">Fund I, L.P.</w:t>
      </w:r>
    </w:p>
    <w:p>
      <w:pPr>
        <w:pBdr>
          <w:bottom w:val="single" w:color="B8860B" w:sz="8"/>
        </w:pBdr>
        <w:spacing w:after="60" w:before="60"/>
      </w:pPr>
      <w:r>
        <w:t xml:space="preserve"/>
      </w:r>
    </w:p>
    <w:p>
      <w:pPr>
        <w:spacing w:after="400" w:before="400"/>
      </w:pPr>
      <w:r>
        <w:t xml:space="preserve"/>
      </w:r>
    </w:p>
    <w:p>
      <w:pPr>
        <w:spacing w:after="120" w:before="120"/>
        <w:jc w:val="center"/>
      </w:pPr>
      <w:r>
        <w:rPr>
          <w:rFonts w:ascii="Arial" w:cs="Arial" w:eastAsia="Arial" w:hAnsi="Arial"/>
          <w:b/>
          <w:bCs/>
          <w:color w:val="0A1628"/>
          <w:sz w:val="48"/>
          <w:szCs w:val="48"/>
        </w:rPr>
        <w:t xml:space="preserve">PRIVATE PLACEMENT MEMORANDUM</w:t>
      </w:r>
    </w:p>
    <w:p>
      <w:pPr>
        <w:spacing w:after="60"/>
        <w:jc w:val="center"/>
      </w:pPr>
      <w:r>
        <w:rPr>
          <w:rFonts w:ascii="Arial" w:cs="Arial" w:eastAsia="Arial" w:hAnsi="Arial"/>
          <w:i/>
          <w:iCs/>
          <w:color w:val="475569"/>
          <w:sz w:val="26"/>
          <w:szCs w:val="26"/>
        </w:rPr>
        <w:t xml:space="preserve">Offering of Limited Partnership Interests</w:t>
      </w:r>
    </w:p>
    <w:p>
      <w:pPr>
        <w:spacing w:after="400" w:before="400"/>
      </w:pPr>
      <w:r>
        <w:t xml:space="preserve"/>
      </w:r>
    </w:p>
    <w:p>
      <w:pPr>
        <w:jc w:val="center"/>
      </w:pPr>
      <w:r>
        <w:rPr>
          <w:rFonts w:ascii="Arial" w:cs="Arial" w:eastAsia="Arial" w:hAnsi="Arial"/>
          <w:color w:val="475569"/>
          <w:sz w:val="22"/>
          <w:szCs w:val="22"/>
        </w:rPr>
        <w:t xml:space="preserve">Version 1.0  |  April 15, 2026</w:t>
      </w:r>
    </w:p>
    <w:p>
      <w:pPr>
        <w:spacing w:after="600" w:before="600"/>
      </w:pPr>
      <w:r>
        <w:t xml:space="preserve"/>
      </w:r>
    </w:p>
    <w:p>
      <w:pPr>
        <w:jc w:val="center"/>
      </w:pPr>
      <w:r>
        <w:rPr>
          <w:rFonts w:ascii="Arial" w:cs="Arial" w:eastAsia="Arial" w:hAnsi="Arial"/>
          <w:b/>
          <w:bCs/>
          <w:color w:val="B8860B"/>
          <w:sz w:val="20"/>
          <w:szCs w:val="20"/>
        </w:rPr>
        <w:t xml:space="preserve">CONFIDENTIAL — FOR INTERNAL USE ONLY</w:t>
      </w:r>
    </w:p>
    <w:p>
      <w:pPr>
        <w:spacing w:after="80" w:before="80"/>
        <w:jc w:val="center"/>
      </w:pPr>
      <w:r>
        <w:rPr>
          <w:rFonts w:ascii="Arial" w:cs="Arial" w:eastAsia="Arial" w:hAnsi="Arial"/>
          <w:i/>
          <w:iCs/>
          <w:color w:val="475569"/>
          <w:sz w:val="16"/>
          <w:szCs w:val="16"/>
        </w:rPr>
        <w:t xml:space="preserve">This document is a fictional template created for educational and demonstration purposes only. It does not constitute legal advice or a binding agreement.</w:t>
      </w:r>
    </w:p>
    <w:p>
      <w:r>
        <w:br w:type="page"/>
      </w:r>
    </w:p>
    <w:p>
      <w:pPr>
        <w:pStyle w:val="Heading1"/>
        <w:spacing w:after="160" w:before="320"/>
      </w:pPr>
      <w:r>
        <w:rPr>
          <w:rFonts w:ascii="Arial" w:cs="Arial" w:eastAsia="Arial" w:hAnsi="Arial"/>
          <w:b/>
          <w:bCs/>
          <w:color w:val="0A1628"/>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Title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Private Placement Memorandum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v1.0</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Draft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Confidential</w:t>
            </w:r>
          </w:p>
        </w:tc>
      </w:tr>
    </w:tbl>
    <w:p>
      <w:pPr>
        <w:spacing w:after="200" w:before="200"/>
      </w:pPr>
      <w:r>
        <w:t xml:space="preserve"/>
      </w:r>
    </w:p>
    <w:p>
      <w:pPr>
        <w:pStyle w:val="Heading1"/>
        <w:spacing w:after="160" w:before="320"/>
      </w:pPr>
      <w:r>
        <w:rPr>
          <w:rFonts w:ascii="Arial" w:cs="Arial" w:eastAsia="Arial" w:hAnsi="Arial"/>
          <w:b/>
          <w:bCs/>
          <w:color w:val="0A1628"/>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Modified By</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Changes Made</w:t>
            </w:r>
          </w:p>
        </w:tc>
      </w:tr>
      <w:tr>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v1.0</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April 15, 2026</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Jordan Kim</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Initial draft created using AI — awaiting legal counsel review</w:t>
            </w:r>
          </w:p>
        </w:tc>
      </w:tr>
    </w:tbl>
    <w:p>
      <w:r>
        <w:br w:type="page"/>
      </w:r>
    </w:p>
    <w:p>
      <w:pPr>
        <w:pStyle w:val="Heading1"/>
        <w:spacing w:after="160" w:before="320"/>
      </w:pPr>
      <w:r>
        <w:rPr>
          <w:rFonts w:ascii="Arial" w:cs="Arial" w:eastAsia="Arial" w:hAnsi="Arial"/>
          <w:b/>
          <w:bCs/>
          <w:color w:val="0A1628"/>
          <w:sz w:val="28"/>
          <w:szCs w:val="28"/>
        </w:rPr>
        <w:t xml:space="preserve">IMPORTANT NOTICES</w:t>
      </w:r>
    </w:p>
    <w:p>
      <w:pPr>
        <w:spacing w:after="80" w:before="80"/>
        <w:jc w:val="both"/>
      </w:pPr>
      <w:r>
        <w:rPr>
          <w:rFonts w:ascii="Arial" w:cs="Arial" w:eastAsia="Arial" w:hAnsi="Arial"/>
          <w:b/>
          <w:bCs/>
          <w:caps/>
          <w:color w:val="1E293B"/>
          <w:sz w:val="22"/>
          <w:szCs w:val="22"/>
        </w:rPr>
        <w:t xml:space="preserve">THIS PRIVATE PLACEMENT MEMORANDUM (THIS "MEMORANDUM") HAS BEEN PREPARED SOLELY FOR INFORMATIONAL PURPOSES IN CONNECTION WITH THE PRIVATE PLACEMENT OF LIMITED PARTNERSHIP INTERESTS (THE "INTERESTS") IN VANTARA CAPITAL PARTNERS FUND I, L.P. (THE "FUND"). THIS IS A FICTIONAL DOCUMENT CREATED FOR EDUCATIONAL AND DEMONSTRATION PURPOSES ONLY.</w:t>
      </w:r>
    </w:p>
    <w:p>
      <w:pPr>
        <w:spacing w:after="100" w:before="100"/>
      </w:pPr>
      <w:r>
        <w:t xml:space="preserve"/>
      </w:r>
    </w:p>
    <w:p>
      <w:pPr>
        <w:spacing w:after="80" w:before="80"/>
        <w:jc w:val="both"/>
      </w:pPr>
      <w:r>
        <w:rPr>
          <w:rFonts w:ascii="Arial" w:cs="Arial" w:eastAsia="Arial" w:hAnsi="Arial"/>
          <w:color w:val="1E293B"/>
          <w:sz w:val="22"/>
          <w:szCs w:val="22"/>
        </w:rPr>
        <w:t xml:space="preserve">THE INTERESTS HAVE NOT BEEN AND WILL NOT BE REGISTERED UNDER THE SECURITIES ACT OF 1933, AS AMENDED, OR ANY STATE SECURITIES LAWS. THE INTERESTS ARE BEING OFFERED SOLELY TO ACCREDITED INVESTORS PURSUANT TO EXEMPTIONS FROM REGISTRATION.</w:t>
      </w:r>
    </w:p>
    <w:p>
      <w:pPr>
        <w:spacing w:after="100" w:before="100"/>
      </w:pPr>
      <w:r>
        <w:t xml:space="preserve"/>
      </w:r>
    </w:p>
    <w:p>
      <w:pPr>
        <w:spacing w:after="80" w:before="80"/>
        <w:jc w:val="both"/>
      </w:pPr>
      <w:r>
        <w:rPr>
          <w:rFonts w:ascii="Arial" w:cs="Arial" w:eastAsia="Arial" w:hAnsi="Arial"/>
          <w:color w:val="1E293B"/>
          <w:sz w:val="22"/>
          <w:szCs w:val="22"/>
        </w:rPr>
        <w:t xml:space="preserve">PROSPECTIVE INVESTORS SHOULD NOT RELY UPON THIS MEMORANDUM AS THE BASIS FOR ANY INVESTMENT DECISION WITHOUT INDEPENDENT VERIFICATION OF THE INFORMATION CONTAINED HEREIN.</w:t>
      </w:r>
    </w:p>
    <w:p>
      <w:r>
        <w:br w:type="page"/>
      </w:r>
    </w:p>
    <w:p>
      <w:pPr>
        <w:pStyle w:val="Heading1"/>
        <w:spacing w:after="160" w:before="320"/>
      </w:pPr>
      <w:r>
        <w:rPr>
          <w:rFonts w:ascii="Arial" w:cs="Arial" w:eastAsia="Arial" w:hAnsi="Arial"/>
          <w:b/>
          <w:bCs/>
          <w:color w:val="0A1628"/>
          <w:sz w:val="28"/>
          <w:szCs w:val="28"/>
        </w:rPr>
        <w:t xml:space="preserve">EXECUTIVE SUMMARY</w:t>
      </w:r>
    </w:p>
    <w:p>
      <w:pPr>
        <w:pStyle w:val="Heading2"/>
        <w:spacing w:after="120" w:before="240"/>
      </w:pPr>
      <w:r>
        <w:rPr>
          <w:rFonts w:ascii="Arial" w:cs="Arial" w:eastAsia="Arial" w:hAnsi="Arial"/>
          <w:b/>
          <w:bCs/>
          <w:color w:val="0A1628"/>
          <w:sz w:val="24"/>
          <w:szCs w:val="24"/>
        </w:rPr>
        <w:t xml:space="preserve">Fund Overview</w:t>
      </w:r>
    </w:p>
    <w:p>
      <w:pPr>
        <w:spacing w:after="80" w:before="80"/>
        <w:jc w:val="both"/>
      </w:pPr>
      <w:r>
        <w:rPr>
          <w:rFonts w:ascii="Arial" w:cs="Arial" w:eastAsia="Arial" w:hAnsi="Arial"/>
          <w:color w:val="1E293B"/>
          <w:sz w:val="22"/>
          <w:szCs w:val="22"/>
        </w:rPr>
        <w:t xml:space="preserve">Vantara Capital Partners Fund I, L.P. (the "Fund") is a $50 million lower middle-market private equity fund focused on control buyouts of established businesses in the United States Southeast region. The Fund is managed by Vantara Capital GP LLC (the "General Partner").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Key Term</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Fund Size</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$50,000,000 target (hard cap $60,000,000)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GP Commitment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$1,000,000 (2% of Fund)</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Strategy</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Lower Middle Market Buyout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Target Sectors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Industrial Services, Business Services, Specialty Manufacturing</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Target EBITDA</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$3M – $10M per investment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Target EV</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$15M – $60M per investment</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Number of Investments</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6 – 10 platform companies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Fund Life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years (two 1-year extensions)</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Investment Period</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5 years from Initial Closing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Management Fee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of committed capital (Investment Period)</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Carried Interest</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20% of net profits above 8% Preferred Return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Preferred Return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per annum, compounded annually</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Distribution Waterfall</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Return of Capital → 8% Preferred Return → GP Catch-Up → 80/20 Split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Minimum Commitment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$1,000,000 (may be waived by General Partner)</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Target Gross IRR</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20% – 25%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20"/>
                <w:szCs w:val="20"/>
              </w:rPr>
              <w:t xml:space="preserve">Target Net IRR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 20%</w:t>
            </w:r>
          </w:p>
        </w:tc>
      </w:tr>
      <w:tr>
        <w:tc>
          <w:tcPr>
            <w:tcW w:type="dxa" w:w="312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bCs/>
                <w:color w:val="0A1628"/>
                <w:sz w:val="20"/>
                <w:szCs w:val="20"/>
              </w:rPr>
              <w:t xml:space="preserve">Target MOIC</w:t>
            </w:r>
          </w:p>
        </w:tc>
        <w:tc>
          <w:tcPr>
            <w:tcW w:type="dxa" w:w="62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2.5x – 3.5x gross</w:t>
            </w:r>
          </w:p>
        </w:tc>
      </w:tr>
    </w:tbl>
    <w:p>
      <w:r>
        <w:br w:type="page"/>
      </w:r>
    </w:p>
    <w:p>
      <w:pPr>
        <w:pStyle w:val="Heading1"/>
        <w:spacing w:after="160" w:before="320"/>
      </w:pPr>
      <w:r>
        <w:rPr>
          <w:rFonts w:ascii="Arial" w:cs="Arial" w:eastAsia="Arial" w:hAnsi="Arial"/>
          <w:b/>
          <w:bCs/>
          <w:color w:val="0A1628"/>
          <w:sz w:val="28"/>
          <w:szCs w:val="28"/>
        </w:rPr>
        <w:t xml:space="preserve">INVESTMENT STRATEGY</w:t>
      </w:r>
    </w:p>
    <w:p>
      <w:pPr>
        <w:pStyle w:val="Heading2"/>
        <w:spacing w:after="120" w:before="240"/>
      </w:pPr>
      <w:r>
        <w:rPr>
          <w:rFonts w:ascii="Arial" w:cs="Arial" w:eastAsia="Arial" w:hAnsi="Arial"/>
          <w:b/>
          <w:bCs/>
          <w:color w:val="0A1628"/>
          <w:sz w:val="24"/>
          <w:szCs w:val="24"/>
        </w:rPr>
        <w:t xml:space="preserve">Market Opportunity</w:t>
      </w:r>
    </w:p>
    <w:p>
      <w:pPr>
        <w:spacing w:after="80" w:before="80"/>
        <w:jc w:val="both"/>
      </w:pPr>
      <w:r>
        <w:rPr>
          <w:rFonts w:ascii="Arial" w:cs="Arial" w:eastAsia="Arial" w:hAnsi="Arial"/>
          <w:color w:val="1E293B"/>
          <w:sz w:val="22"/>
          <w:szCs w:val="22"/>
        </w:rPr>
        <w:t xml:space="preserve">The U.S. lower middle market — defined as companies with $3M to $10M in EBITDA — represents one of the most attractive segments of the private equity universe. With an estimated 175,000+ businesses fitting this profile, the market is characterized by:</w:t>
      </w:r>
    </w:p>
    <w:p>
      <w:pPr>
        <w:pStyle w:val="ListParagraph"/>
        <w:numPr>
          <w:ilvl w:val="0"/>
          <w:numId w:val="2"/>
        </w:numPr>
        <w:spacing w:after="60" w:before="60"/>
      </w:pPr>
      <w:r>
        <w:rPr>
          <w:rFonts w:ascii="Arial" w:cs="Arial" w:eastAsia="Arial" w:hAnsi="Arial"/>
          <w:color w:val="1E293B"/>
          <w:sz w:val="22"/>
          <w:szCs w:val="22"/>
        </w:rPr>
        <w:t xml:space="preserve">Fragmentation and limited institutional competition versus large-cap buyout;</w:t>
      </w:r>
    </w:p>
    <w:p>
      <w:pPr>
        <w:pStyle w:val="ListParagraph"/>
        <w:numPr>
          <w:ilvl w:val="0"/>
          <w:numId w:val="2"/>
        </w:numPr>
        <w:spacing w:after="60" w:before="60"/>
      </w:pPr>
      <w:r>
        <w:rPr>
          <w:rFonts w:ascii="Arial" w:cs="Arial" w:eastAsia="Arial" w:hAnsi="Arial"/>
          <w:color w:val="1E293B"/>
          <w:sz w:val="22"/>
          <w:szCs w:val="22"/>
        </w:rPr>
        <w:t xml:space="preserve">Significant operational improvement opportunities in businesses transitioning from founder to institutional ownership;</w:t>
      </w:r>
    </w:p>
    <w:p>
      <w:pPr>
        <w:pStyle w:val="ListParagraph"/>
        <w:numPr>
          <w:ilvl w:val="0"/>
          <w:numId w:val="2"/>
        </w:numPr>
        <w:spacing w:after="60" w:before="60"/>
      </w:pPr>
      <w:r>
        <w:rPr>
          <w:rFonts w:ascii="Arial" w:cs="Arial" w:eastAsia="Arial" w:hAnsi="Arial"/>
          <w:color w:val="1E293B"/>
          <w:sz w:val="22"/>
          <w:szCs w:val="22"/>
        </w:rPr>
        <w:t xml:space="preserve">Higher relative returns due to valuation arbitrage between entry multiples and exit to larger buyers;</w:t>
      </w:r>
    </w:p>
    <w:p>
      <w:pPr>
        <w:pStyle w:val="ListParagraph"/>
        <w:numPr>
          <w:ilvl w:val="0"/>
          <w:numId w:val="2"/>
        </w:numPr>
        <w:spacing w:after="60" w:before="60"/>
      </w:pPr>
      <w:r>
        <w:rPr>
          <w:rFonts w:ascii="Arial" w:cs="Arial" w:eastAsia="Arial" w:hAnsi="Arial"/>
          <w:color w:val="1E293B"/>
          <w:sz w:val="22"/>
          <w:szCs w:val="22"/>
        </w:rPr>
        <w:t xml:space="preserve">Resilient, essential-service business models with recurring revenue characteristics.</w:t>
      </w:r>
    </w:p>
    <w:p>
      <w:pPr>
        <w:pStyle w:val="Heading2"/>
        <w:spacing w:after="120" w:before="240"/>
      </w:pPr>
      <w:r>
        <w:rPr>
          <w:rFonts w:ascii="Arial" w:cs="Arial" w:eastAsia="Arial" w:hAnsi="Arial"/>
          <w:b/>
          <w:bCs/>
          <w:color w:val="0A1628"/>
          <w:sz w:val="24"/>
          <w:szCs w:val="24"/>
        </w:rPr>
        <w:t xml:space="preserve">Target Company Profile</w:t>
      </w:r>
    </w:p>
    <w:p>
      <w:pPr>
        <w:spacing w:after="80" w:before="80"/>
        <w:jc w:val="both"/>
      </w:pPr>
      <w:r>
        <w:rPr>
          <w:rFonts w:ascii="Arial" w:cs="Arial" w:eastAsia="Arial" w:hAnsi="Arial"/>
          <w:color w:val="1E293B"/>
          <w:sz w:val="22"/>
          <w:szCs w:val="22"/>
        </w:rPr>
        <w:t xml:space="preserve">Vantara Capital will target businesses with the following characteristics:</w:t>
      </w:r>
    </w:p>
    <w:p>
      <w:pPr>
        <w:pStyle w:val="ListParagraph"/>
        <w:numPr>
          <w:ilvl w:val="0"/>
          <w:numId w:val="2"/>
        </w:numPr>
        <w:spacing w:after="60" w:before="60"/>
      </w:pPr>
      <w:r>
        <w:rPr>
          <w:rFonts w:ascii="Arial" w:cs="Arial" w:eastAsia="Arial" w:hAnsi="Arial"/>
          <w:color w:val="1E293B"/>
          <w:sz w:val="22"/>
          <w:szCs w:val="22"/>
        </w:rPr>
        <w:t xml:space="preserve">Established operating history of 10+ years;</w:t>
      </w:r>
    </w:p>
    <w:p>
      <w:pPr>
        <w:pStyle w:val="ListParagraph"/>
        <w:numPr>
          <w:ilvl w:val="0"/>
          <w:numId w:val="2"/>
        </w:numPr>
        <w:spacing w:after="60" w:before="60"/>
      </w:pPr>
      <w:r>
        <w:rPr>
          <w:rFonts w:ascii="Arial" w:cs="Arial" w:eastAsia="Arial" w:hAnsi="Arial"/>
          <w:color w:val="1E293B"/>
          <w:sz w:val="22"/>
          <w:szCs w:val="22"/>
        </w:rPr>
        <w:t xml:space="preserve">Defensible competitive position in local or regional markets;</w:t>
      </w:r>
    </w:p>
    <w:p>
      <w:pPr>
        <w:pStyle w:val="ListParagraph"/>
        <w:numPr>
          <w:ilvl w:val="0"/>
          <w:numId w:val="2"/>
        </w:numPr>
        <w:spacing w:after="60" w:before="60"/>
      </w:pPr>
      <w:r>
        <w:rPr>
          <w:rFonts w:ascii="Arial" w:cs="Arial" w:eastAsia="Arial" w:hAnsi="Arial"/>
          <w:color w:val="1E293B"/>
          <w:sz w:val="22"/>
          <w:szCs w:val="22"/>
        </w:rPr>
        <w:t xml:space="preserve">Recurring or repeat revenue from long-term customer relationships;</w:t>
      </w:r>
    </w:p>
    <w:p>
      <w:pPr>
        <w:pStyle w:val="ListParagraph"/>
        <w:numPr>
          <w:ilvl w:val="0"/>
          <w:numId w:val="2"/>
        </w:numPr>
        <w:spacing w:after="60" w:before="60"/>
      </w:pPr>
      <w:r>
        <w:rPr>
          <w:rFonts w:ascii="Arial" w:cs="Arial" w:eastAsia="Arial" w:hAnsi="Arial"/>
          <w:color w:val="1E293B"/>
          <w:sz w:val="22"/>
          <w:szCs w:val="22"/>
        </w:rPr>
        <w:t xml:space="preserve">Scalable platforms with add-on acquisition potential;</w:t>
      </w:r>
    </w:p>
    <w:p>
      <w:pPr>
        <w:pStyle w:val="ListParagraph"/>
        <w:numPr>
          <w:ilvl w:val="0"/>
          <w:numId w:val="2"/>
        </w:numPr>
        <w:spacing w:after="60" w:before="60"/>
      </w:pPr>
      <w:r>
        <w:rPr>
          <w:rFonts w:ascii="Arial" w:cs="Arial" w:eastAsia="Arial" w:hAnsi="Arial"/>
          <w:color w:val="1E293B"/>
          <w:sz w:val="22"/>
          <w:szCs w:val="22"/>
        </w:rPr>
        <w:t xml:space="preserve">Management teams open to institutional partnership and equity co-investment;</w:t>
      </w:r>
    </w:p>
    <w:p>
      <w:pPr>
        <w:pStyle w:val="ListParagraph"/>
        <w:numPr>
          <w:ilvl w:val="0"/>
          <w:numId w:val="2"/>
        </w:numPr>
        <w:spacing w:after="60" w:before="60"/>
      </w:pPr>
      <w:r>
        <w:rPr>
          <w:rFonts w:ascii="Arial" w:cs="Arial" w:eastAsia="Arial" w:hAnsi="Arial"/>
          <w:color w:val="1E293B"/>
          <w:sz w:val="22"/>
          <w:szCs w:val="22"/>
        </w:rPr>
        <w:t xml:space="preserve">Clear value creation opportunities through operational improvement, technology adoption, and geographic expansion.</w:t>
      </w:r>
    </w:p>
    <w:p>
      <w:pPr>
        <w:pStyle w:val="Heading2"/>
        <w:spacing w:after="120" w:before="240"/>
      </w:pPr>
      <w:r>
        <w:rPr>
          <w:rFonts w:ascii="Arial" w:cs="Arial" w:eastAsia="Arial" w:hAnsi="Arial"/>
          <w:b/>
          <w:bCs/>
          <w:color w:val="0A1628"/>
          <w:sz w:val="24"/>
          <w:szCs w:val="24"/>
        </w:rPr>
        <w:t xml:space="preserve">Value Creation Approach</w:t>
      </w:r>
    </w:p>
    <w:p>
      <w:pPr>
        <w:spacing w:after="80" w:before="80"/>
        <w:jc w:val="both"/>
      </w:pPr>
      <w:r>
        <w:rPr>
          <w:rFonts w:ascii="Arial" w:cs="Arial" w:eastAsia="Arial" w:hAnsi="Arial"/>
          <w:color w:val="1E293B"/>
          <w:sz w:val="22"/>
          <w:szCs w:val="22"/>
        </w:rPr>
        <w:t xml:space="preserve">For each Portfolio Company, the General Partner will implement a structured 100-Day Value Creation Plan including:</w:t>
      </w:r>
    </w:p>
    <w:p>
      <w:pPr>
        <w:pStyle w:val="ListParagraph"/>
        <w:numPr>
          <w:ilvl w:val="0"/>
          <w:numId w:val="3"/>
        </w:numPr>
        <w:spacing w:after="60" w:before="60"/>
      </w:pPr>
      <w:r>
        <w:rPr>
          <w:rFonts w:ascii="Arial" w:cs="Arial" w:eastAsia="Arial" w:hAnsi="Arial"/>
          <w:color w:val="1E293B"/>
          <w:sz w:val="22"/>
          <w:szCs w:val="22"/>
        </w:rPr>
        <w:t xml:space="preserve">Operational Assessment: Comprehensive review of cost structure, pricing, and working capital;</w:t>
      </w:r>
    </w:p>
    <w:p>
      <w:pPr>
        <w:pStyle w:val="ListParagraph"/>
        <w:numPr>
          <w:ilvl w:val="0"/>
          <w:numId w:val="3"/>
        </w:numPr>
        <w:spacing w:after="60" w:before="60"/>
      </w:pPr>
      <w:r>
        <w:rPr>
          <w:rFonts w:ascii="Arial" w:cs="Arial" w:eastAsia="Arial" w:hAnsi="Arial"/>
          <w:color w:val="1E293B"/>
          <w:sz w:val="22"/>
          <w:szCs w:val="22"/>
        </w:rPr>
        <w:t xml:space="preserve">Technology Enablement: Implementation of AI-powered operational tools to increase efficiency;</w:t>
      </w:r>
    </w:p>
    <w:p>
      <w:pPr>
        <w:pStyle w:val="ListParagraph"/>
        <w:numPr>
          <w:ilvl w:val="0"/>
          <w:numId w:val="3"/>
        </w:numPr>
        <w:spacing w:after="60" w:before="60"/>
      </w:pPr>
      <w:r>
        <w:rPr>
          <w:rFonts w:ascii="Arial" w:cs="Arial" w:eastAsia="Arial" w:hAnsi="Arial"/>
          <w:color w:val="1E293B"/>
          <w:sz w:val="22"/>
          <w:szCs w:val="22"/>
        </w:rPr>
        <w:t xml:space="preserve">Commercial Excellence: Sales process improvement, pricing optimization, and customer retention;</w:t>
      </w:r>
    </w:p>
    <w:p>
      <w:pPr>
        <w:pStyle w:val="ListParagraph"/>
        <w:numPr>
          <w:ilvl w:val="0"/>
          <w:numId w:val="3"/>
        </w:numPr>
        <w:spacing w:after="60" w:before="60"/>
      </w:pPr>
      <w:r>
        <w:rPr>
          <w:rFonts w:ascii="Arial" w:cs="Arial" w:eastAsia="Arial" w:hAnsi="Arial"/>
          <w:color w:val="1E293B"/>
          <w:sz w:val="22"/>
          <w:szCs w:val="22"/>
        </w:rPr>
        <w:t xml:space="preserve">Add-On Acquisitions: Identify and execute bolt-on acquisitions to build scale;</w:t>
      </w:r>
    </w:p>
    <w:p>
      <w:pPr>
        <w:pStyle w:val="ListParagraph"/>
        <w:numPr>
          <w:ilvl w:val="0"/>
          <w:numId w:val="3"/>
        </w:numPr>
        <w:spacing w:after="60" w:before="60"/>
      </w:pPr>
      <w:r>
        <w:rPr>
          <w:rFonts w:ascii="Arial" w:cs="Arial" w:eastAsia="Arial" w:hAnsi="Arial"/>
          <w:color w:val="1E293B"/>
          <w:sz w:val="22"/>
          <w:szCs w:val="22"/>
        </w:rPr>
        <w:t xml:space="preserve">Management Strengthening: Recruit senior talent and align management with equity incentives;</w:t>
      </w:r>
    </w:p>
    <w:p>
      <w:pPr>
        <w:pStyle w:val="ListParagraph"/>
        <w:numPr>
          <w:ilvl w:val="0"/>
          <w:numId w:val="3"/>
        </w:numPr>
        <w:spacing w:after="60" w:before="60"/>
      </w:pPr>
      <w:r>
        <w:rPr>
          <w:rFonts w:ascii="Arial" w:cs="Arial" w:eastAsia="Arial" w:hAnsi="Arial"/>
          <w:color w:val="1E293B"/>
          <w:sz w:val="22"/>
          <w:szCs w:val="22"/>
        </w:rPr>
        <w:t xml:space="preserve">Exit Preparation: Build institutional-quality financial reporting and prepare for a premium exit.</w:t>
      </w:r>
    </w:p>
    <w:p>
      <w:r>
        <w:br w:type="page"/>
      </w:r>
    </w:p>
    <w:p>
      <w:pPr>
        <w:pStyle w:val="Heading1"/>
        <w:spacing w:after="160" w:before="320"/>
      </w:pPr>
      <w:r>
        <w:rPr>
          <w:rFonts w:ascii="Arial" w:cs="Arial" w:eastAsia="Arial" w:hAnsi="Arial"/>
          <w:b/>
          <w:bCs/>
          <w:color w:val="0A1628"/>
          <w:sz w:val="28"/>
          <w:szCs w:val="28"/>
        </w:rPr>
        <w:t xml:space="preserve">RISK FACTORS</w:t>
      </w:r>
    </w:p>
    <w:p>
      <w:pPr>
        <w:spacing w:after="80" w:before="80"/>
        <w:jc w:val="both"/>
      </w:pPr>
      <w:r>
        <w:rPr>
          <w:rFonts w:ascii="Arial" w:cs="Arial" w:eastAsia="Arial" w:hAnsi="Arial"/>
          <w:color w:val="1E293B"/>
          <w:sz w:val="22"/>
          <w:szCs w:val="22"/>
        </w:rPr>
        <w:t xml:space="preserve">Investment in the Fund involves significant risks. Prospective investors should carefully consider the following risk factors, among others:</w:t>
      </w:r>
    </w:p>
    <w:p>
      <w:pPr>
        <w:pStyle w:val="Heading2"/>
        <w:spacing w:after="120" w:before="240"/>
      </w:pPr>
      <w:r>
        <w:rPr>
          <w:rFonts w:ascii="Arial" w:cs="Arial" w:eastAsia="Arial" w:hAnsi="Arial"/>
          <w:b/>
          <w:bCs/>
          <w:color w:val="0A1628"/>
          <w:sz w:val="24"/>
          <w:szCs w:val="24"/>
        </w:rPr>
        <w:t xml:space="preserve">General Investment Risks</w:t>
      </w:r>
    </w:p>
    <w:p>
      <w:pPr>
        <w:pStyle w:val="ListParagraph"/>
        <w:numPr>
          <w:ilvl w:val="0"/>
          <w:numId w:val="2"/>
        </w:numPr>
        <w:spacing w:after="60" w:before="60"/>
      </w:pPr>
      <w:r>
        <w:rPr>
          <w:rFonts w:ascii="Arial" w:cs="Arial" w:eastAsia="Arial" w:hAnsi="Arial"/>
          <w:color w:val="1E293B"/>
          <w:sz w:val="22"/>
          <w:szCs w:val="22"/>
        </w:rPr>
        <w:t xml:space="preserve">No Assurance of Returns: There can be no assurance that the Fund will achieve its target returns or that investors will not lose their entire investment.</w:t>
      </w:r>
    </w:p>
    <w:p>
      <w:pPr>
        <w:pStyle w:val="ListParagraph"/>
        <w:numPr>
          <w:ilvl w:val="0"/>
          <w:numId w:val="2"/>
        </w:numPr>
        <w:spacing w:after="60" w:before="60"/>
      </w:pPr>
      <w:r>
        <w:rPr>
          <w:rFonts w:ascii="Arial" w:cs="Arial" w:eastAsia="Arial" w:hAnsi="Arial"/>
          <w:color w:val="1E293B"/>
          <w:sz w:val="22"/>
          <w:szCs w:val="22"/>
        </w:rPr>
        <w:t xml:space="preserve">Illiquidity: Limited Partnership Interests are highly illiquid. There is no secondary market for the Interests and investors should be prepared to hold their investment for the full Fund Life.</w:t>
      </w:r>
    </w:p>
    <w:p>
      <w:pPr>
        <w:pStyle w:val="ListParagraph"/>
        <w:numPr>
          <w:ilvl w:val="0"/>
          <w:numId w:val="2"/>
        </w:numPr>
        <w:spacing w:after="60" w:before="60"/>
      </w:pPr>
      <w:r>
        <w:rPr>
          <w:rFonts w:ascii="Arial" w:cs="Arial" w:eastAsia="Arial" w:hAnsi="Arial"/>
          <w:color w:val="1E293B"/>
          <w:sz w:val="22"/>
          <w:szCs w:val="22"/>
        </w:rPr>
        <w:t xml:space="preserve">Leverage Risk: Portfolio Companies may employ significant leverage, increasing both potential returns and the risk of loss.</w:t>
      </w:r>
    </w:p>
    <w:p>
      <w:pPr>
        <w:pStyle w:val="ListParagraph"/>
        <w:numPr>
          <w:ilvl w:val="0"/>
          <w:numId w:val="2"/>
        </w:numPr>
        <w:spacing w:after="60" w:before="60"/>
      </w:pPr>
      <w:r>
        <w:rPr>
          <w:rFonts w:ascii="Arial" w:cs="Arial" w:eastAsia="Arial" w:hAnsi="Arial"/>
          <w:color w:val="1E293B"/>
          <w:sz w:val="22"/>
          <w:szCs w:val="22"/>
        </w:rPr>
        <w:t xml:space="preserve">Concentration Risk: The Fund may hold a relatively small number of investments, creating concentration risk.</w:t>
      </w:r>
    </w:p>
    <w:p>
      <w:pPr>
        <w:pStyle w:val="Heading2"/>
        <w:spacing w:after="120" w:before="240"/>
      </w:pPr>
      <w:r>
        <w:rPr>
          <w:rFonts w:ascii="Arial" w:cs="Arial" w:eastAsia="Arial" w:hAnsi="Arial"/>
          <w:b/>
          <w:bCs/>
          <w:color w:val="0A1628"/>
          <w:sz w:val="24"/>
          <w:szCs w:val="24"/>
        </w:rPr>
        <w:t xml:space="preserve">Operational Risks</w:t>
      </w:r>
    </w:p>
    <w:p>
      <w:pPr>
        <w:pStyle w:val="ListParagraph"/>
        <w:numPr>
          <w:ilvl w:val="0"/>
          <w:numId w:val="2"/>
        </w:numPr>
        <w:spacing w:after="60" w:before="60"/>
      </w:pPr>
      <w:r>
        <w:rPr>
          <w:rFonts w:ascii="Arial" w:cs="Arial" w:eastAsia="Arial" w:hAnsi="Arial"/>
          <w:color w:val="1E293B"/>
          <w:sz w:val="22"/>
          <w:szCs w:val="22"/>
        </w:rPr>
        <w:t xml:space="preserve">Key Person Risk: The Fund's success depends significantly on the expertise and continued involvement of Alex Rivera and the General Partner's key investment professionals.</w:t>
      </w:r>
    </w:p>
    <w:p>
      <w:pPr>
        <w:pStyle w:val="ListParagraph"/>
        <w:numPr>
          <w:ilvl w:val="0"/>
          <w:numId w:val="2"/>
        </w:numPr>
        <w:spacing w:after="60" w:before="60"/>
      </w:pPr>
      <w:r>
        <w:rPr>
          <w:rFonts w:ascii="Arial" w:cs="Arial" w:eastAsia="Arial" w:hAnsi="Arial"/>
          <w:color w:val="1E293B"/>
          <w:sz w:val="22"/>
          <w:szCs w:val="22"/>
        </w:rPr>
        <w:t xml:space="preserve">Portfolio Company Risk: Portfolio Companies may face operational, competitive, or market challenges that adversely affect their value.</w:t>
      </w:r>
    </w:p>
    <w:p>
      <w:pPr>
        <w:pStyle w:val="ListParagraph"/>
        <w:numPr>
          <w:ilvl w:val="0"/>
          <w:numId w:val="2"/>
        </w:numPr>
        <w:spacing w:after="60" w:before="60"/>
      </w:pPr>
      <w:r>
        <w:rPr>
          <w:rFonts w:ascii="Arial" w:cs="Arial" w:eastAsia="Arial" w:hAnsi="Arial"/>
          <w:color w:val="1E293B"/>
          <w:sz w:val="22"/>
          <w:szCs w:val="22"/>
        </w:rPr>
        <w:t xml:space="preserve">AI and Technology Risk: While the Fund employs AI-powered operational tools, technology systems may not perform as expected and human oversight is required.</w:t>
      </w:r>
    </w:p>
    <w:p>
      <w:pPr>
        <w:pStyle w:val="Heading2"/>
        <w:spacing w:after="120" w:before="240"/>
      </w:pPr>
      <w:r>
        <w:rPr>
          <w:rFonts w:ascii="Arial" w:cs="Arial" w:eastAsia="Arial" w:hAnsi="Arial"/>
          <w:b/>
          <w:bCs/>
          <w:color w:val="0A1628"/>
          <w:sz w:val="24"/>
          <w:szCs w:val="24"/>
        </w:rPr>
        <w:t xml:space="preserve">Market and Economic Risks</w:t>
      </w:r>
    </w:p>
    <w:p>
      <w:pPr>
        <w:pStyle w:val="ListParagraph"/>
        <w:numPr>
          <w:ilvl w:val="0"/>
          <w:numId w:val="2"/>
        </w:numPr>
        <w:spacing w:after="60" w:before="60"/>
      </w:pPr>
      <w:r>
        <w:rPr>
          <w:rFonts w:ascii="Arial" w:cs="Arial" w:eastAsia="Arial" w:hAnsi="Arial"/>
          <w:color w:val="1E293B"/>
          <w:sz w:val="22"/>
          <w:szCs w:val="22"/>
        </w:rPr>
        <w:t xml:space="preserve">Economic Downturns: General economic conditions, including recessions, inflation, and interest rate changes, may adversely affect the Fund's investments.</w:t>
      </w:r>
    </w:p>
    <w:p>
      <w:pPr>
        <w:pStyle w:val="ListParagraph"/>
        <w:numPr>
          <w:ilvl w:val="0"/>
          <w:numId w:val="2"/>
        </w:numPr>
        <w:spacing w:after="60" w:before="60"/>
      </w:pPr>
      <w:r>
        <w:rPr>
          <w:rFonts w:ascii="Arial" w:cs="Arial" w:eastAsia="Arial" w:hAnsi="Arial"/>
          <w:color w:val="1E293B"/>
          <w:sz w:val="22"/>
          <w:szCs w:val="22"/>
        </w:rPr>
        <w:t xml:space="preserve">Exit Environment: Exits depend on favorable M&amp;A markets, credit availability, and strategic buyer interest, all of which are outside the General Partner's control.</w:t>
      </w:r>
    </w:p>
    <w:p>
      <w:r>
        <w:br w:type="page"/>
      </w:r>
    </w:p>
    <w:p>
      <w:pPr>
        <w:pStyle w:val="Heading1"/>
        <w:spacing w:after="160" w:before="320"/>
      </w:pPr>
      <w:r>
        <w:rPr>
          <w:rFonts w:ascii="Arial" w:cs="Arial" w:eastAsia="Arial" w:hAnsi="Arial"/>
          <w:b/>
          <w:bCs/>
          <w:color w:val="0A1628"/>
          <w:sz w:val="28"/>
          <w:szCs w:val="28"/>
        </w:rPr>
        <w:t xml:space="preserve">THE GENERAL PARTNER</w:t>
      </w:r>
    </w:p>
    <w:p>
      <w:pPr>
        <w:pStyle w:val="Heading2"/>
        <w:spacing w:after="120" w:before="240"/>
      </w:pPr>
      <w:r>
        <w:rPr>
          <w:rFonts w:ascii="Arial" w:cs="Arial" w:eastAsia="Arial" w:hAnsi="Arial"/>
          <w:b/>
          <w:bCs/>
          <w:color w:val="0A1628"/>
          <w:sz w:val="24"/>
          <w:szCs w:val="24"/>
        </w:rPr>
        <w:t xml:space="preserve">Overview</w:t>
      </w:r>
    </w:p>
    <w:p>
      <w:pPr>
        <w:spacing w:after="80" w:before="80"/>
        <w:jc w:val="both"/>
      </w:pPr>
      <w:r>
        <w:rPr>
          <w:rFonts w:ascii="Arial" w:cs="Arial" w:eastAsia="Arial" w:hAnsi="Arial"/>
          <w:color w:val="1E293B"/>
          <w:sz w:val="22"/>
          <w:szCs w:val="22"/>
        </w:rPr>
        <w:t xml:space="preserve">Vantara Capital GP LLC (the "General Partner") is a Delaware limited liability company formed to serve as the general partner of the Fund. The General Partner is responsible for all investment decisions, portfolio management, and fund operations.</w:t>
      </w:r>
    </w:p>
    <w:p>
      <w:pPr>
        <w:pStyle w:val="Heading2"/>
        <w:spacing w:after="120" w:before="240"/>
      </w:pPr>
      <w:r>
        <w:rPr>
          <w:rFonts w:ascii="Arial" w:cs="Arial" w:eastAsia="Arial" w:hAnsi="Arial"/>
          <w:b/>
          <w:bCs/>
          <w:color w:val="0A1628"/>
          <w:sz w:val="24"/>
          <w:szCs w:val="24"/>
        </w:rPr>
        <w:t xml:space="preserve">Investment Team</w:t>
      </w:r>
    </w:p>
    <w:p>
      <w:pPr>
        <w:spacing w:after="80" w:before="80"/>
        <w:jc w:val="both"/>
      </w:pPr>
      <w:r>
        <w:rPr>
          <w:rFonts w:ascii="Arial" w:cs="Arial" w:eastAsia="Arial" w:hAnsi="Arial"/>
          <w:color w:val="1E293B"/>
          <w:sz w:val="22"/>
          <w:szCs w:val="22"/>
        </w:rPr>
        <w:t xml:space="preserve">Alex Rivera — Managing Partner</w:t>
      </w:r>
    </w:p>
    <w:p>
      <w:pPr>
        <w:spacing w:after="80" w:before="80"/>
        <w:jc w:val="both"/>
      </w:pPr>
      <w:r>
        <w:rPr>
          <w:rFonts w:ascii="Arial" w:cs="Arial" w:eastAsia="Arial" w:hAnsi="Arial"/>
          <w:i/>
          <w:iCs/>
          <w:color w:val="1E293B"/>
          <w:sz w:val="22"/>
          <w:szCs w:val="22"/>
        </w:rPr>
        <w:t xml:space="preserve">Alex Rivera leads all investment activities, LP relationships, and strategic direction of the Fund. Alex brings extensive experience in lower middle-market private equity, operational value creation, and capital markets.</w:t>
      </w:r>
    </w:p>
    <w:p>
      <w:pPr>
        <w:spacing w:after="80" w:before="80"/>
      </w:pPr>
      <w:r>
        <w:t xml:space="preserve"/>
      </w:r>
    </w:p>
    <w:p>
      <w:pPr>
        <w:spacing w:after="80" w:before="80"/>
        <w:jc w:val="both"/>
      </w:pPr>
      <w:r>
        <w:rPr>
          <w:rFonts w:ascii="Arial" w:cs="Arial" w:eastAsia="Arial" w:hAnsi="Arial"/>
          <w:color w:val="1E293B"/>
          <w:sz w:val="22"/>
          <w:szCs w:val="22"/>
        </w:rPr>
        <w:t xml:space="preserve">Jordan Kim — Vice President, Finance &amp; Operations</w:t>
      </w:r>
    </w:p>
    <w:p>
      <w:pPr>
        <w:spacing w:after="80" w:before="80"/>
        <w:jc w:val="both"/>
      </w:pPr>
      <w:r>
        <w:rPr>
          <w:rFonts w:ascii="Arial" w:cs="Arial" w:eastAsia="Arial" w:hAnsi="Arial"/>
          <w:i/>
          <w:iCs/>
          <w:color w:val="1E293B"/>
          <w:sz w:val="22"/>
          <w:szCs w:val="22"/>
        </w:rPr>
        <w:t xml:space="preserve">Jordan Kim oversees all financial operations, reporting, and technology infrastructure. Jordan leads the implementation of the Fund's AI-powered operating model, including all Power Platform and Claude AI integrations.</w:t>
      </w:r>
    </w:p>
    <w:p>
      <w:pPr>
        <w:spacing w:after="200" w:before="200"/>
      </w:pPr>
      <w:r>
        <w:t xml:space="preserve"/>
      </w:r>
    </w:p>
    <w:p>
      <w:pPr>
        <w:pBdr>
          <w:bottom w:val="single" w:color="0A1628" w:sz="6"/>
        </w:pBdr>
        <w:spacing w:after="80" w:before="80"/>
      </w:pPr>
      <w:r>
        <w:t xml:space="preserve"/>
      </w:r>
    </w:p>
    <w:p>
      <w:pPr>
        <w:spacing w:after="100" w:before="100"/>
      </w:pPr>
      <w:r>
        <w:t xml:space="preserve"/>
      </w:r>
    </w:p>
    <w:p>
      <w:pPr>
        <w:jc w:val="center"/>
      </w:pPr>
      <w:r>
        <w:rPr>
          <w:rFonts w:ascii="Arial" w:cs="Arial" w:eastAsia="Arial" w:hAnsi="Arial"/>
          <w:b/>
          <w:bCs/>
          <w:color w:val="B8860B"/>
          <w:sz w:val="18"/>
          <w:szCs w:val="18"/>
        </w:rPr>
        <w:t xml:space="preserve">THIS IS A FICTIONAL PPM FOR DEMONSTRATION PURPOSES ONLY. NOT AN OFFER TO SELL SECURITIES. NOT LEGAL OR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475569"/>
        <w:sz w:val="16"/>
        <w:szCs w:val="16"/>
      </w:rPr>
      <w:t xml:space="preserve">Vantara Capital Partners  |  Fictional Demo Document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tabs>
        <w:tab w:val="right" w:pos="9026"/>
      </w:tabs>
      <w:spacing w:after="80"/>
    </w:pPr>
    <w:r>
      <w:rPr>
        <w:rFonts w:ascii="Arial" w:cs="Arial" w:eastAsia="Arial" w:hAnsi="Arial"/>
        <w:color w:val="0A1628"/>
        <w:sz w:val="18"/>
        <w:szCs w:val="18"/>
      </w:rPr>
      <w:t xml:space="preserve">Vantara Capital Partners Fund I  |  </w:t>
    </w:r>
    <w:r>
      <w:rPr>
        <w:rFonts w:ascii="Arial" w:cs="Arial" w:eastAsia="Arial" w:hAnsi="Arial"/>
        <w:b/>
        <w:bCs/>
        <w:color w:val="0A1628"/>
        <w:sz w:val="18"/>
        <w:szCs w:val="18"/>
      </w:rPr>
      <w:t xml:space="preserve">Private Placement Memorandum</w:t>
    </w:r>
    <w:r>
      <w:rPr>
        <w:rFonts w:ascii="Arial" w:cs="Arial" w:eastAsia="Arial" w:hAnsi="Arial"/>
        <w:b/>
        <w:bCs/>
        <w:color w:val="B886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2026-04-16T03:21:53.061Z</dcterms:created>
  <dcterms:modified xsi:type="dcterms:W3CDTF">2026-04-16T03:21:53.061Z</dcterms:modified>
</cp:coreProperties>
</file>

<file path=docProps/custom.xml><?xml version="1.0" encoding="utf-8"?>
<Properties xmlns="http://schemas.openxmlformats.org/officeDocument/2006/custom-properties" xmlns:vt="http://schemas.openxmlformats.org/officeDocument/2006/docPropsVTypes"/>
</file>