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是否同時提出「3 個月最小可行性評估」：在內科病房之間、外科病房之間、內外科加護之間，比較同樣合法的單位實際負荷差多少，作為之後配置與開床的依據（不需額外經費）。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最小可行性評估做法：同一批病人 2–4 週同時評 TISS-28 與 NAS，並請護理師班末自評負荷，用本院資料證明哪一個比較貼近臨床負擔。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2026-10-15T13:41:58.070Z</dcterms:created>
  <dcterms:modified xsi:type="dcterms:W3CDTF">2026-10-15T13:41:58.082Z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