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護理人力與開床規劃｜護理主管會議討論稿</w:t>
      </w:r>
    </w:p>
    <w:p>
      <w:pPr>
        <w:spacing w:after="20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草案 v0.1｜115 年 10 月 15 日｜內部討論用，請勿外流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一、討論目的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下週一面報院長前，統一護理部的立場、說法與數據口徑。院長希望開床，護理師希望能合理休假；本次會議要把兩者放在同一張算式裡，提出院長可以裁示的方案。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二、建議的核心立場</w:t>
      </w:r>
    </w:p>
    <w:p>
      <w:pPr>
        <w:spacing w:after="80" w:line="340"/>
      </w:pPr>
      <w:r>
        <w:rPr>
          <w:rFonts w:ascii="Times New Roman" w:cs="Times New Roman" w:eastAsia="標楷體" w:hAnsi="Times New Roman"/>
          <w:b/>
          <w:bCs/>
        </w:rPr>
        <w:t xml:space="preserve">「支持開床，但開床要跟著人力走。」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不說「人力不夠，所以不能開床」；改說「開 X 床需要 Y 名護理師，Y 名到位的時程是 Z」。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護理師休不到假，本質上是「隱藏的人力缺口」：缺的人力由現有人員少休、加班吸收。不先補人就開床，等於把缺口再擴大，最後是離職與被迫關床。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三班護病比已入法（醫療法 §12、§102-1，115.5.8 三讀），醫學中心預計 116.5.20 起適用（設置標準修正草案，正式發布待確認）。開床規劃必須以「上路後每一班都合法」為前提。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三、關鍵數字（範例試算，需換成本院數字）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試算依據：醫學中心三班護病比 1:6／1:9／1:11；住床率 90%；每名護理師一年可直接照護班數＝每週 5 天 × 52 週 − 國定假日 − 特休 − 病事假 − 公假訓練 − 長假折算。下表休假天數為範例，須由人事依本院人員身分別確認。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00"/>
      </w:tblGrid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範例試算結果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每名護理師一年可直接照護班數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220 班（非生產工時約 15%）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每增開 1 床約需護理師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0.55 名，即</w:t>
            </w:r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每開 2 床約需 1 名護理師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床病房（住床率 90%）每班最少人數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白班 6、小夜 4、大夜 4，每日 14 人班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床病房需要可直接照護的護理師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23 名（不含護理長、專科護理師）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若該病房只有 21 名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每人每年需多上約 23 班（等於少休 23 天）才能維持合法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 20 床、每班 1:2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排班需要約 45 名；法定「每床 1.5 人」只有 30 名</w:t>
            </w:r>
          </w:p>
        </w:tc>
      </w:tr>
    </w:tbl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詳細算式見《開床與護理人力試算表_v0.1.xlsx》，修改休假參數與各單位床數、人數後會自動更新。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四、請各單位護理長於週日前提供（以單位為單位，不含個資）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資料項目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目前開放床數／可開床數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算法定最少人數與開床空間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個月住床率（平均與高峰）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用高峰情境規劃，避免以平均值低估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可直接照護病人的護理師人數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與法定需求比對，算出差額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個月未休特休天數、加班時數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把「休不到假」量化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個月離職人數、目前缺額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呈現流失風險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個月三班護病比達標情形（每班）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對照明年上路的罰則與現有達標獎勵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五、本次會議要決定的事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對院長的立場是否採「支持開床、分階段、人力先到位」？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開床優先順序：哪些單位人力相對充足、可以先開？哪些單位必須先補人？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休假參數由誰向人事取得？（國定假日、特休平均天數、病事假、公假訓練、長假）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是否同時提出「護理負荷儀表板」：串接現有醫囑、給藥執行與入出轉資料，按單位、班別呈現每位護理師的工作量；內科病房之間、外科病房之間、內外科加護之間互比。不做研究、不增加護理師填寫。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面報由誰報告、帶哪些資料。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六、加護病房：為什麼現行 TISS／APACHE 反映不出護理負擔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工具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量的是什麼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看不到的護理工作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APACHE II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病情嚴重度、預測死亡率（入住 24 小時）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完全不是工作量工具；病情重不等於護理時間多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TISS-28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對病人做了哪些治療（呼吸器、藥物、管路）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翻身與活動、清潔、持續床邊觀察、家屬支持、行政聯繫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NAS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護理活動花了一名護理師多少比例的時間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以 TISS-28 為基礎，補上上述項目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國際研究：NAS 可解釋 81% 的護理時間，TISS-28 只有 43%；NAS 新增的活動約占平均護理時間的六成（Miranda et al., Crit Care Med 2003）。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典型落差：未插管、譫妄躁動、需持續看守與多人翻身的病人，APACHE／TISS 偏低，實際最耗人力；病情很重但穩定鎮靜的病人則相反。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轉換成本低：NAS 是由 TISS-28 擴充而來，同仁熟悉大部分項目；現有 TISS 資料可作為預填與對照。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近期做法：不另做研究，先用既有資料（TISS、醫囑、給藥執行、入出轉）呈現；NAS 列為日後需要時的選項。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七、護理負荷儀表板構想（串接醫囑與護理紀錄，不增加填寫）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3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資料來源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可呈現的指標（每單位、每班、每位護理師）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注意事項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入出轉（ADT）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新入院、出院、轉入轉出、術後返室人次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周轉量是護病比看不到的負荷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給藥執行紀錄（eMAR）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實際給藥次數，其中靜脈、高警訊藥物次數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用「已執行」紀錄，不用醫囑筆數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醫囑（CPOE）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抽血檢驗、輸血、檢查（含需護送外出）次數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醫師開立習慣不同，只做同科互比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護理紀錄（NIS）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約束、隔離、高跌倒風險、日常活動依賴、翻身紀錄的病人數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補上醫囑看不到的照顧工作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加護病房既有資料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 分數、呼吸器、CRRT、ECMO 等使用人數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 只反映治療，需搭配上列資料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醫囑資料的盲點與 TISS 相同：只看得到「治療」，看不到翻身、清潔、看守躁動病人、家屬支持。因此一定要搭配給藥執行與護理紀錄。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第一版只呈現「次數」，不換算成分鐘或員額，避免被質疑權重依據；用來看單位之間、班別之間的落差。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需要資訊室協助撈取資料；以單位、班別彙總呈現，不含病人個資。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八、說法上的提醒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本試算只算「法定下限」，沒有反映病人病情輕重；不能拿來說某單位人力過多。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所有數字標註「試算」，避免被當成員額核定。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文獻與法規目前只經摘要查核，面報引用的條文日期請再確認一次。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護理主管會議討論稿 v0.1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2026-10-15T13:48:30.108Z</dcterms:created>
  <dcterms:modified xsi:type="dcterms:W3CDTF">2026-10-15T13:48:30.115Z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