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KS最少用例实验操作指南</w:t>
      </w:r>
    </w:p>
    <w:p>
      <w:pPr>
        <w:pStyle w:val="Subtitle"/>
      </w:pPr>
      <w:r>
        <w:t>零基础版 从证明缓存链路到确认具体根因</w:t>
      </w:r>
    </w:p>
    <w:p>
      <w:r>
        <w:rPr>
          <w:b w:val="0"/>
        </w:rPr>
        <w:t>本指南用三个固定逻辑用例和一个按结果触发的修正闭环，确认KS问题的真实数据路径、性能现象和具体原因。仅当需要进一步证明“PP布局使池化收益变差”，才补四象限；不从一开始穷举模型、并发、命中率和并行组合。</w:t>
      </w:r>
    </w:p>
    <w:p>
      <w:r>
        <w:rPr>
          <w:b w:val="0"/>
        </w:rPr>
        <w:t>“最少用例”不等于“每组只发一次请求”。前面的小样本用来找明显断点，只有需要判断性能差异时才增加重复与样本。本指南中的阈值和示例负载均为实验起点，不是客户已测结果。</w:t>
      </w:r>
    </w:p>
    <w:p>
      <w:pPr>
        <w:pStyle w:val="Heading1"/>
      </w:pPr>
      <w:r>
        <w:t>阅读和执行顺序</w:t>
      </w:r>
    </w:p>
    <w:p>
      <w:pPr>
        <w:ind w:left="255" w:hanging="255"/>
      </w:pPr>
      <w:r>
        <w:rPr>
          <w:b w:val="0"/>
        </w:rPr>
        <w:t>1. 先读“入门基础”，看懂一条请求如何经过P、缓存和D；不用先读源码。</w:t>
      </w:r>
    </w:p>
    <w:p>
      <w:pPr>
        <w:ind w:left="255" w:hanging="255"/>
      </w:pPr>
      <w:r>
        <w:rPr>
          <w:b w:val="0"/>
        </w:rPr>
        <w:t>2. 读实验总表与准备步骤，和环境维护者一起填好地址、模型名、版本与配置。Linux命令在昇腾测试容器中执行；当前Windows电脑用于阅读、生成文件和整理结果。</w:t>
      </w:r>
    </w:p>
    <w:p>
      <w:pPr>
        <w:ind w:left="255" w:hanging="255"/>
      </w:pPr>
      <w:r>
        <w:rPr>
          <w:b w:val="0"/>
        </w:rPr>
        <w:t>3. 先做M1。若输出错误、分片缺失或传输失败，直接走对应M4，不再做大规模性能测试。</w:t>
      </w:r>
    </w:p>
    <w:p>
      <w:pPr>
        <w:ind w:left="255" w:hanging="255"/>
      </w:pPr>
      <w:r>
        <w:rPr>
          <w:b w:val="0"/>
        </w:rPr>
        <w:t>4. M1通过后做M2、M3；按决策表选一个追加验证。原始日志、输入清单和测量数据要一同保留。</w:t>
      </w:r>
    </w:p>
    <w:p>
      <w:pPr>
        <w:ind w:left="255" w:hanging="255"/>
      </w:pPr>
      <w:r>
        <w:rPr>
          <w:b w:val="0"/>
        </w:rPr>
        <w:t>5. 用结论模板填写证据。没有采到的指标填写NA和原因，不能填0或“通过”。</w:t>
      </w:r>
    </w:p>
    <w:p>
      <w:r>
        <w:rPr>
          <w:b/>
        </w:rPr>
        <w:t>环境默认：</w:t>
      </w:r>
      <w:r>
        <w:rPr>
          <w:b w:val="0"/>
        </w:rPr>
        <w:t>详细流程以可使用客户原2P1D隔离测试环境为目标。只有单机时可做局部链路和小模型验证；没有昇腾环境时可准备数据、配置对照和表格，不能产生客户性能结论。本指南不假设未知的启动脚本、硬件容量或通用池化开关存在。</w:t>
      </w:r>
    </w:p>
    <w:p>
      <w:r>
        <w:rPr>
          <w:b/>
        </w:rPr>
        <w:t>零基础分工：</w:t>
      </w:r>
      <w:r>
        <w:rPr>
          <w:b w:val="0"/>
        </w:rPr>
        <w:t>你可以负责运行已确认的客户端命令、保留文件、填写结果和按表判读；首次部署、切换connector、确认PP分层及增加源码计时，需要熟悉现场的人共同完成。命令中的中文占位值必须替换，截图里的旧镜像和参数不要直接套到未知服务器上。</w:t>
      </w:r>
    </w:p>
    <w:p>
      <w:pPr>
        <w:pStyle w:val="Heading1"/>
        <w:pageBreakBefore/>
      </w:pPr>
      <w:r>
        <w:t>基础1 先看一条请求 模型到底在做什么</w:t>
      </w:r>
    </w:p>
    <w:p>
      <w:pPr>
        <w:pStyle w:val="Heading2"/>
      </w:pPr>
      <w:r>
        <w:t>基础1 1 请求 提示词与 token</w:t>
      </w:r>
    </w:p>
    <w:p>
      <w:r>
        <w:rPr>
          <w:b w:val="0"/>
        </w:rPr>
        <w:t>把模型服务想成一家收到问题、阅读资料、逐字组织回答的工厂。一次用户提问及其上下文，就是一次“请求”。请求通常包含系统提示、历史对话、本轮问题和生成参数。</w:t>
      </w:r>
    </w:p>
    <w:p>
      <w:r>
        <w:rPr>
          <w:b w:val="0"/>
        </w:rPr>
        <w:t>模型不会直接以“汉字个数”计量文本。它先用分词器把文本转换为一串编号，每个编号对应一个 token。token 可能是一段词、一个字符或其他文本片段，具体由分词器决定。因此“输入 4,096 token”不能直接改写为“输入 4,096 个汉字”。</w:t>
      </w:r>
    </w:p>
    <w:p>
      <w:r>
        <w:rPr>
          <w:b w:val="0"/>
        </w:rPr>
        <w:t>模型权重是训练得到的参数，可以理解为工厂长期使用的设备与规则；输入文本是这一次订单的资料。推理是使用这些权重计算答案，通常不会在回答过程中重新训练模型。量化则是以较低精度表示权重或部分计算数据，目的是减少占用或改善执行效率；不同量化配置必须作为不同测试条件记录。</w:t>
      </w:r>
    </w:p>
    <w:p>
      <w:r>
        <w:rPr>
          <w:b w:val="0"/>
        </w:rPr>
        <w:t>本次问题研究的是同一套模型在服务时如何保存、复用和传输中间计算结果，不是训练模型，也不是改变模型知道的知识。</w:t>
      </w:r>
    </w:p>
    <w:p>
      <w:pPr>
        <w:pStyle w:val="Heading2"/>
      </w:pPr>
      <w:r>
        <w:t>基础1 2 prefill 与 decode 先阅读 再继续生成</w:t>
      </w:r>
    </w:p>
    <w:p>
      <w:r>
        <w:rPr>
          <w:b w:val="0"/>
        </w:rPr>
        <w:t>一次常见的自回归生成包含两个阶段：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1871"/>
        <w:gridCol w:w="3175"/>
        <w:gridCol w:w="2778"/>
      </w:tblGrid>
      <w:tr>
        <w:trPr>
          <w:cantSplit/>
          <w:tblHeader/>
        </w:trPr>
        <w:tc>
          <w:tcPr>
            <w:tcW w:type="dxa" w:w="1814"/>
            <w:vAlign w:val="center"/>
            <w:shd w:fill="E8EEF3"/>
            <w:tcMar>
              <w:top w:w="95" w:type="dxa"/>
              <w:bottom w:w="95" w:type="dxa"/>
              <w:left w:w="110" w:type="dxa"/>
              <w:right w:w="110" w:type="dxa"/>
            </w:tcMar>
          </w:tcPr>
          <w:p>
            <w:pPr>
              <w:spacing w:after="0" w:line="280" w:lineRule="exact"/>
              <w:jc w:val="center"/>
            </w:pPr>
            <w:r>
              <w:rPr>
                <w:b/>
                <w:sz w:val="19"/>
              </w:rPr>
            </w:r>
            <w:r>
              <w:rPr>
                <w:b/>
                <w:sz w:val="19"/>
              </w:rPr>
              <w:t>阶段</w:t>
            </w:r>
          </w:p>
        </w:tc>
        <w:tc>
          <w:tcPr>
            <w:tcW w:type="dxa" w:w="1871"/>
            <w:vAlign w:val="center"/>
            <w:shd w:fill="E8EEF3"/>
            <w:tcMar>
              <w:top w:w="95" w:type="dxa"/>
              <w:bottom w:w="95" w:type="dxa"/>
              <w:left w:w="110" w:type="dxa"/>
              <w:right w:w="110" w:type="dxa"/>
            </w:tcMar>
          </w:tcPr>
          <w:p>
            <w:pPr>
              <w:spacing w:after="0" w:line="280" w:lineRule="exact"/>
            </w:pPr>
            <w:r>
              <w:rPr>
                <w:b/>
                <w:sz w:val="19"/>
              </w:rPr>
            </w:r>
            <w:r>
              <w:rPr>
                <w:b/>
                <w:sz w:val="19"/>
              </w:rPr>
              <w:t>类比</w:t>
            </w:r>
          </w:p>
        </w:tc>
        <w:tc>
          <w:tcPr>
            <w:tcW w:type="dxa" w:w="3175"/>
            <w:vAlign w:val="center"/>
            <w:shd w:fill="E8EEF3"/>
            <w:tcMar>
              <w:top w:w="95" w:type="dxa"/>
              <w:bottom w:w="95" w:type="dxa"/>
              <w:left w:w="110" w:type="dxa"/>
              <w:right w:w="110" w:type="dxa"/>
            </w:tcMar>
          </w:tcPr>
          <w:p>
            <w:pPr>
              <w:spacing w:after="0" w:line="280" w:lineRule="exact"/>
            </w:pPr>
            <w:r>
              <w:rPr>
                <w:b/>
                <w:sz w:val="19"/>
              </w:rPr>
            </w:r>
            <w:r>
              <w:rPr>
                <w:b/>
                <w:sz w:val="19"/>
              </w:rPr>
              <w:t>实际工作</w:t>
            </w:r>
          </w:p>
        </w:tc>
        <w:tc>
          <w:tcPr>
            <w:tcW w:type="dxa" w:w="2778"/>
            <w:vAlign w:val="center"/>
            <w:shd w:fill="E8EEF3"/>
            <w:tcMar>
              <w:top w:w="95" w:type="dxa"/>
              <w:bottom w:w="95" w:type="dxa"/>
              <w:left w:w="110" w:type="dxa"/>
              <w:right w:w="110" w:type="dxa"/>
            </w:tcMar>
          </w:tcPr>
          <w:p>
            <w:pPr>
              <w:spacing w:after="0" w:line="280" w:lineRule="exact"/>
            </w:pPr>
            <w:r>
              <w:rPr>
                <w:b/>
                <w:sz w:val="19"/>
              </w:rPr>
            </w:r>
            <w:r>
              <w:rPr>
                <w:b/>
                <w:sz w:val="19"/>
              </w:rPr>
              <w:t>本次要观察什么</w:t>
            </w:r>
          </w:p>
        </w:tc>
      </w:tr>
      <w:tr>
        <w:trPr>
          <w:cantSplit/>
        </w:trPr>
        <w:tc>
          <w:tcPr>
            <w:tcW w:type="dxa" w:w="1814"/>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prefill，预填充，简称 P</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先阅读收到的整份资料</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对输入 token 计算各层状态，并形成后续生成需要的 KV</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是否真的少算了输入；是否在加载或保存缓存时等待</w:t>
            </w:r>
          </w:p>
        </w:tc>
      </w:tr>
      <w:tr>
        <w:trPr>
          <w:cantSplit/>
        </w:trPr>
        <w:tc>
          <w:tcPr>
            <w:tcW w:type="dxa" w:w="1814"/>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decode，解码，简称 D</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根据已经读到和写出的内容继续回答</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逐步生成新的 token，持续使用并扩展 KV</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首字后生成是否变慢；是否等待 P 侧移交 KV</w:t>
            </w:r>
          </w:p>
        </w:tc>
      </w:tr>
    </w:tbl>
    <w:p>
      <w:pPr>
        <w:spacing w:after="40" w:line="40" w:lineRule="exact"/>
      </w:pPr>
      <w:r>
        <w:rPr>
          <w:sz w:val="4"/>
        </w:rPr>
      </w:r>
    </w:p>
    <w:p>
      <w:r>
        <w:rPr>
          <w:b w:val="0"/>
        </w:rPr>
        <w:t>prefill 常有较强的计算需求；decode 常受数据访问与调度效率影响。这是理解方向，不是所有模型、批量和硬件下都成立的绝对判断。判断客户瓶颈仍要依靠测量。</w:t>
      </w:r>
    </w:p>
    <w:p>
      <w:r>
        <w:rPr>
          <w:b w:val="0"/>
        </w:rPr>
        <w:t>“第一个 token 很晚出现”和“第一个 token 后输出很慢”是不同问题。前者需要看排队、prefill、缓存读取、P→D 交接等环节；后者还需要看 decode 执行、批量与请求间竞争。</w:t>
      </w:r>
    </w:p>
    <w:p>
      <w:pPr>
        <w:pStyle w:val="Heading1"/>
        <w:pageBreakBefore/>
      </w:pPr>
      <w:r>
        <w:t>基础2 KV Cache 缓存了什么 为什么能省计算</w:t>
      </w:r>
    </w:p>
    <w:p>
      <w:pPr>
        <w:pStyle w:val="Heading2"/>
      </w:pPr>
      <w:r>
        <w:t>基础2 1 KV 不是已生成的答案</w:t>
      </w:r>
    </w:p>
    <w:p>
      <w:r>
        <w:rPr>
          <w:b w:val="0"/>
        </w:rPr>
        <w:t>在注意力计算中，模型会用到 Key 和 Value，简称 K、V。KV Cache 是把这些中间状态保存下来，让后续计算复用。类比读长资料时做的“可继续使用的阅读笔记”，它既不是原文的简单副本，也不是问答结果的数据库。</w:t>
      </w:r>
    </w:p>
    <w:p>
      <w:r>
        <w:rPr>
          <w:b w:val="0"/>
        </w:rPr>
        <w:t>不使用已保存的 KV 时，一些相同上下文需要重新计算；正确复用 KV 后，可以减少重复工作。模型仍需要完成新输入部分和后续生成，所以“缓存命中”不等于“不再进行推理”。</w:t>
      </w:r>
    </w:p>
    <w:p>
      <w:r>
        <w:rPr>
          <w:b w:val="0"/>
        </w:rPr>
        <w:t>普通注意力、MLA 等模型结构的缓存形状和占用可能不同。本问题不应凭通用的“每层 K/V”示意图计算实际传输字节；应读取当前模型实际 KV 张量和连接器的元数据。</w:t>
      </w:r>
    </w:p>
    <w:p>
      <w:pPr>
        <w:pStyle w:val="Heading2"/>
      </w:pPr>
      <w:r>
        <w:t>基础2 2 前缀复用 相同的开头才构成复用机会</w:t>
      </w:r>
    </w:p>
    <w:p>
      <w:r>
        <w:rPr>
          <w:b w:val="0"/>
        </w:rPr>
        <w:t>例如两条请求分别是“共同背景资料 + 问题甲”和“同一背景资料 + 问题乙”。两者开头的 token 序列相同，就可能复用共同背景的 KV。判断还需要模型、tokenizer、缓存键、位置和相应运行配置匹配，不能只凭肉眼认为两段话意思相同。</w:t>
      </w:r>
    </w:p>
    <w:p>
      <w:r>
        <w:rPr>
          <w:b w:val="0"/>
        </w:rPr>
        <w:t>“两段文字语义相近”不等于“可以直接复用同一份 KV”。相同文字放到不同上下文位置，也不能无条件视为同一个可复用前缀。</w:t>
      </w:r>
    </w:p>
    <w:p>
      <w:r>
        <w:rPr>
          <w:b w:val="0"/>
        </w:rPr>
        <w:t>实验必须区分三件事：输入中有多少理论可复用的 token；缓存系统查到了多少；最终真正省去了多少 prefill 计算。只有最后一项直接连接到计算收益。</w:t>
      </w:r>
    </w:p>
    <w:p>
      <w:pPr>
        <w:pStyle w:val="Heading2"/>
      </w:pPr>
      <w:r>
        <w:t>基础2 3 block 与 chunk 两种分块单位不能混写</w:t>
      </w:r>
    </w:p>
    <w:p>
      <w:r>
        <w:rPr>
          <w:b w:val="0"/>
        </w:rPr>
        <w:t>缓存通常分块管理，好比书按页存放，避免每次申请一大片连续空间。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402"/>
        <w:gridCol w:w="3742"/>
      </w:tblGrid>
      <w:tr>
        <w:trPr>
          <w:cantSplit/>
          <w:tblHeader/>
        </w:trPr>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名称</w:t>
            </w:r>
          </w:p>
        </w:tc>
        <w:tc>
          <w:tcPr>
            <w:tcW w:type="dxa" w:w="3402"/>
            <w:vAlign w:val="center"/>
            <w:shd w:fill="E8EEF3"/>
            <w:tcMar>
              <w:top w:w="95" w:type="dxa"/>
              <w:bottom w:w="95" w:type="dxa"/>
              <w:left w:w="110" w:type="dxa"/>
              <w:right w:w="110" w:type="dxa"/>
            </w:tcMar>
          </w:tcPr>
          <w:p>
            <w:pPr>
              <w:spacing w:after="0" w:line="280" w:lineRule="exact"/>
            </w:pPr>
            <w:r>
              <w:rPr>
                <w:b/>
                <w:sz w:val="19"/>
              </w:rPr>
            </w:r>
            <w:r>
              <w:rPr>
                <w:b/>
                <w:sz w:val="19"/>
              </w:rPr>
              <w:t>定义与用途</w:t>
            </w:r>
          </w:p>
        </w:tc>
        <w:tc>
          <w:tcPr>
            <w:tcW w:type="dxa" w:w="3742"/>
            <w:vAlign w:val="center"/>
            <w:shd w:fill="E8EEF3"/>
            <w:tcMar>
              <w:top w:w="95" w:type="dxa"/>
              <w:bottom w:w="95" w:type="dxa"/>
              <w:left w:w="110" w:type="dxa"/>
              <w:right w:w="110" w:type="dxa"/>
            </w:tcMar>
          </w:tcPr>
          <w:p>
            <w:pPr>
              <w:spacing w:after="0" w:line="280" w:lineRule="exact"/>
            </w:pPr>
            <w:r>
              <w:rPr>
                <w:b/>
                <w:sz w:val="19"/>
              </w:rPr>
            </w:r>
            <w:r>
              <w:rPr>
                <w:b/>
                <w:sz w:val="19"/>
              </w:rPr>
              <w:t>注意事项</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KV block，KV 块</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推理引擎管理 KV 的基本块；存在逻辑块与实际内存块的映射</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block 大小及内存布局由当前引擎配置决定</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chunk，缓存片段</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外部缓存引擎进行索引、保存或加载的一段 token 对应的数据</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chunk 不一定等于一个 vLLM block；不能默认两者数量相同</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shape / stride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张量的各维大小 / 沿各维移动时跨越的内存距离</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数据量对了，步长或布局错了，仍可能读写错误</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cache key</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用于识别缓存对象的键</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可能包含模型、token、rank、PP 阶段等维度，具体按实现核对</w:t>
            </w:r>
          </w:p>
        </w:tc>
      </w:tr>
    </w:tbl>
    <w:p>
      <w:pPr>
        <w:spacing w:after="40" w:line="40" w:lineRule="exact"/>
      </w:pPr>
      <w:r>
        <w:rPr>
          <w:sz w:val="4"/>
        </w:rPr>
      </w:r>
    </w:p>
    <w:p>
      <w:r>
        <w:rPr>
          <w:b w:val="0"/>
        </w:rPr>
        <w:t>例如请求有可复用前缀，但长度未覆盖完整缓存块，实际可复用 token 可能少于文字上相同的部分。实验中的目标复用比例只是输入设计，实际有效比例必须另测。</w:t>
      </w:r>
    </w:p>
    <w:p>
      <w:pPr>
        <w:pStyle w:val="Heading1"/>
        <w:pageBreakBefore/>
      </w:pPr>
      <w:r>
        <w:t>基础3 数据放在哪里 NPU HBM 主机内存与网络</w:t>
      </w:r>
    </w:p>
    <w:p>
      <w:r>
        <w:rPr>
          <w:b w:val="0"/>
        </w:rPr>
        <w:t>把 NPU 视为执行模型计算的设备；HBM 是其附近的高速设备内存；Host 内存是主机 CPU 使用的内存；SSD 是持久存储。把 KV 从设备内存搬到 Host 或其他节点，可以扩大可保存的范围，但搬回时也需要时间。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位置或动作</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直观解释</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与 KS 实验的关系</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NPU</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执行张量计算的加速设备</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要知道哪些设备负责哪个并行阶段</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HBM</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NPU 使用的高速设备内存</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模型权重、KV、工作空间等都会占用它</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Host / CPU 内存</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主机内存，常称 DDR</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本地卸载缓存可能放在这里，并不等于共享池已开启</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SSD</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比内存更持久的存储层</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容量、读写和缓存策略会改变端到端行为</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D2H / H2D / D2D</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Device→Host / Host→Device / Device→Device</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分别记录设备到主机、主机到设备、设备之间的数据移动</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内存注册</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将一段内存及其范围交给传输系统识别和访问</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注册地址或长度不匹配可能引发传输失败</w:t>
            </w:r>
          </w:p>
        </w:tc>
      </w:tr>
    </w:tbl>
    <w:p>
      <w:pPr>
        <w:spacing w:after="40" w:line="40" w:lineRule="exact"/>
      </w:pPr>
      <w:r>
        <w:rPr>
          <w:sz w:val="4"/>
        </w:rPr>
      </w:r>
    </w:p>
    <w:p>
      <w:r>
        <w:rPr>
          <w:b w:val="0"/>
        </w:rPr>
        <w:t>“卡”“芯片”“进程”不是同一个计数单位。有的硬件一张物理卡含多个计算芯片；一个服务又会启动多个工作进程。不要把截图中的“16 个芯片”写成“16 张物理卡”。现场应分别记录物理节点、卡、可见设备和 worker 数量。</w:t>
      </w:r>
    </w:p>
    <w:p>
      <w:r>
        <w:rPr>
          <w:b w:val="0"/>
        </w:rPr>
        <w:t>带宽描述单位时间能够传送多少数据；时延描述一次操作需要等多久。大块传输可能更受带宽影响，大量小块操作可能更受调用和同步时延影响。因此不能仅凭总字节数判断某个路径一定快或慢。</w:t>
      </w:r>
    </w:p>
    <w:p>
      <w:pPr>
        <w:pStyle w:val="Heading1"/>
        <w:pageBreakBefore/>
      </w:pPr>
      <w:r>
        <w:t>基础4 多个设备如何合作 先分清 PP TP DP 和 PD</w:t>
      </w:r>
    </w:p>
    <w:p>
      <w:pPr>
        <w:pStyle w:val="Heading2"/>
      </w:pPr>
      <w:r>
        <w:t>基础4 1 PP 把不同层交给不同阶段</w:t>
      </w:r>
    </w:p>
    <w:p>
      <w:r>
        <w:rPr>
          <w:b w:val="0"/>
        </w:rPr>
        <w:t>PP 全称 Pipeline Parallelism，流水线并行。可以类比一条生产线：第一站处理前面一组工序，第二站处理后面一组工序。模型的不同层被分配到不同 stage（阶段），请求依次经过这些阶段。</w:t>
      </w:r>
    </w:p>
    <w:p>
      <w:r>
        <w:rPr>
          <w:b w:val="0"/>
        </w:rPr>
        <w:t>PP2 表示两个流水线阶段，不是两个 prefill 副本。某个阶段通常保存自己负责层的 KV。因此一条请求的 KV 可以分散在多个阶段上，但不要求外部缓存一定先把它们拼成“全模型一大块”。系统也可以分别记录和传输阶段片段。</w:t>
      </w:r>
    </w:p>
    <w:p>
      <w:r>
        <w:rPr>
          <w:b w:val="0"/>
        </w:rPr>
        <w:t>一个阶段慢了，后续阶段可能等待；等待造成的空闲常称“流水线气泡”。PP 可以让模型分布到更多设备上，也可能改善适合的服务负载，但不是把阶段数翻倍就保证时延减半。</w:t>
      </w:r>
    </w:p>
    <w:p>
      <w:pPr>
        <w:pStyle w:val="Heading2"/>
      </w:pPr>
      <w:r>
        <w:t>基础4 2 TP DP 与 EP 分别切计算 复制服务 分配专家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1871"/>
        <w:gridCol w:w="3175"/>
        <w:gridCol w:w="2778"/>
      </w:tblGrid>
      <w:tr>
        <w:trPr>
          <w:cantSplit/>
          <w:tblHeader/>
        </w:trPr>
        <w:tc>
          <w:tcPr>
            <w:tcW w:type="dxa" w:w="1814"/>
            <w:vAlign w:val="center"/>
            <w:shd w:fill="E8EEF3"/>
            <w:tcMar>
              <w:top w:w="95" w:type="dxa"/>
              <w:bottom w:w="95" w:type="dxa"/>
              <w:left w:w="110" w:type="dxa"/>
              <w:right w:w="110" w:type="dxa"/>
            </w:tcMar>
          </w:tcPr>
          <w:p>
            <w:pPr>
              <w:spacing w:after="0" w:line="280" w:lineRule="exact"/>
            </w:pPr>
            <w:r>
              <w:rPr>
                <w:b/>
                <w:sz w:val="19"/>
              </w:rPr>
            </w:r>
            <w:r>
              <w:rPr>
                <w:b/>
                <w:sz w:val="19"/>
              </w:rPr>
              <w:t>方式</w:t>
            </w:r>
          </w:p>
        </w:tc>
        <w:tc>
          <w:tcPr>
            <w:tcW w:type="dxa" w:w="1871"/>
            <w:vAlign w:val="center"/>
            <w:shd w:fill="E8EEF3"/>
            <w:tcMar>
              <w:top w:w="95" w:type="dxa"/>
              <w:bottom w:w="95" w:type="dxa"/>
              <w:left w:w="110" w:type="dxa"/>
              <w:right w:w="110" w:type="dxa"/>
            </w:tcMar>
          </w:tcPr>
          <w:p>
            <w:pPr>
              <w:spacing w:after="0" w:line="280" w:lineRule="exact"/>
            </w:pPr>
            <w:r>
              <w:rPr>
                <w:b/>
                <w:sz w:val="19"/>
              </w:rPr>
            </w:r>
            <w:r>
              <w:rPr>
                <w:b/>
                <w:sz w:val="19"/>
              </w:rPr>
              <w:t>类比</w:t>
            </w:r>
          </w:p>
        </w:tc>
        <w:tc>
          <w:tcPr>
            <w:tcW w:type="dxa" w:w="3175"/>
            <w:vAlign w:val="center"/>
            <w:shd w:fill="E8EEF3"/>
            <w:tcMar>
              <w:top w:w="95" w:type="dxa"/>
              <w:bottom w:w="95" w:type="dxa"/>
              <w:left w:w="110" w:type="dxa"/>
              <w:right w:w="110" w:type="dxa"/>
            </w:tcMar>
          </w:tcPr>
          <w:p>
            <w:pPr>
              <w:spacing w:after="0" w:line="280" w:lineRule="exact"/>
            </w:pPr>
            <w:r>
              <w:rPr>
                <w:b/>
                <w:sz w:val="19"/>
              </w:rPr>
            </w:r>
            <w:r>
              <w:rPr>
                <w:b/>
                <w:sz w:val="19"/>
              </w:rPr>
              <w:t>精确定义</w:t>
            </w:r>
          </w:p>
        </w:tc>
        <w:tc>
          <w:tcPr>
            <w:tcW w:type="dxa" w:w="2778"/>
            <w:vAlign w:val="center"/>
            <w:shd w:fill="E8EEF3"/>
            <w:tcMar>
              <w:top w:w="95" w:type="dxa"/>
              <w:bottom w:w="95" w:type="dxa"/>
              <w:left w:w="110" w:type="dxa"/>
              <w:right w:w="110" w:type="dxa"/>
            </w:tcMar>
          </w:tcPr>
          <w:p>
            <w:pPr>
              <w:spacing w:after="0" w:line="280" w:lineRule="exact"/>
            </w:pPr>
            <w:r>
              <w:rPr>
                <w:b/>
                <w:sz w:val="19"/>
              </w:rPr>
            </w:r>
            <w:r>
              <w:rPr>
                <w:b/>
                <w:sz w:val="19"/>
              </w:rPr>
              <w:t>不应混同</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TP，张量并行</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多个工人合做同一道工序</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将某些层内部的张量计算分给多个设备，并进行必要通信</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不是复制完整模型服务</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PP，流水线并行</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不同工位负责不同工序</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不同设备或设备组负责不同模型层区间</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不是 prefill/decode 分离</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DP，数据并行</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多条服务线接不同订单</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多个模型副本处理不同请求或批次</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增减 DP 会改变副本数和排队行为</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EP，专家并行</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按任务送到相应专家工位</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在 MoE 模型中把专家计算分配到不同设备</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是否可组合及如何通信依赖模型和版本</w:t>
            </w:r>
          </w:p>
        </w:tc>
      </w:tr>
    </w:tbl>
    <w:p>
      <w:pPr>
        <w:spacing w:after="40" w:line="40" w:lineRule="exact"/>
      </w:pPr>
      <w:r>
        <w:rPr>
          <w:sz w:val="4"/>
        </w:rPr>
      </w:r>
    </w:p>
    <w:p>
      <w:r>
        <w:rPr>
          <w:b w:val="0"/>
        </w:rPr>
        <w:t>例如把 DP2、TP8 改成 DP1、TP8、PP2，虽然总设备数可能不变，但同时减少了副本数、增加了流水线阶段。这是在比较两个部署方案，不能把所有差值都归因于“PP 开关”。</w:t>
      </w:r>
    </w:p>
    <w:p>
      <w:pPr>
        <w:pStyle w:val="Heading2"/>
        <w:pageBreakBefore/>
      </w:pPr>
      <w:r>
        <w:t>基础4 3 rank 与 group 编号一定要说明属于哪个范围</w:t>
      </w:r>
    </w:p>
    <w:p>
      <w:r>
        <w:rPr>
          <w:b w:val="0"/>
        </w:rPr>
        <w:t>rank 是一个参与分布式计算的进程在某个通信范围内的编号。global rank 是全局编号，TP rank 是 TP 组内编号，PP rank 是所在流水线阶段的编号。group 是参加某类协作的进程集合。</w:t>
      </w:r>
    </w:p>
    <w:p>
      <w:r>
        <w:rPr>
          <w:b w:val="0"/>
        </w:rPr>
        <w:t>用一个简化示例理解：PP2、TP2 可以由 4 个 worker 组成。第一个 PP 阶段有 2 个 TP worker；第二个 PP 阶段也有 2 个 TP worker。两个 TP 组都可以各自有一个“组内 rank 0”，但全局 rank 0 只有一个。具体编号与映射要以运行日志为准。</w:t>
      </w:r>
    </w:p>
    <w:p>
      <w:r>
        <w:rPr>
          <w:b w:val="0"/>
        </w:rPr>
        <w:t>这正是最终分析报告中 first-rank 风险的关键：</w:t>
      </w:r>
      <w:r>
        <w:rPr>
          <w:b/>
        </w:rPr>
        <w:t>“全局第一个 worker”与“每个 TP 组的第一个 worker”不是同一个集合。</w:t>
      </w:r>
      <w:r>
        <w:rPr>
          <w:b w:val="0"/>
        </w:rPr>
        <w:t xml:space="preserve"> 不能看到 first_rank 这个名字就认定每个 PP 阶段都有人保存缓存，也不能只凭这个名字断定必然丢缓存；需要把实际编号、保存者和广播范围列出来。</w:t>
      </w:r>
    </w:p>
    <w:p>
      <w:pPr>
        <w:pStyle w:val="Heading2"/>
      </w:pPr>
      <w:r>
        <w:t>基础4 4 PD 分离与 2P1D 这是服务角色 不是模型切层</w:t>
      </w:r>
    </w:p>
    <w:p>
      <w:r>
        <w:rPr>
          <w:b w:val="0"/>
        </w:rPr>
        <w:t>PD 分离把 prefill 和 decode 交给不同服务组。P 侧算完本次请求的输入后，需要将相应 KV 交给 D 侧，D 侧才能继续生成。</w:t>
      </w:r>
    </w:p>
    <w:p>
      <w:r>
        <w:rPr>
          <w:b w:val="0"/>
        </w:rPr>
        <w:t>2P1D 表示两组 P 服务和一组 D 服务。它描述服务分工与副本安排；每一组内部还可以有自己的 TP、PP 等配置。两个 P 副本不是两个 PP stage。</w:t>
      </w:r>
    </w:p>
    <w:p>
      <w:r>
        <w:rPr>
          <w:b w:val="0"/>
        </w:rPr>
        <w:t>一条简化的请求路线是：</w:t>
      </w:r>
    </w:p>
    <w:p>
      <w:r>
        <w:rPr>
          <w:b w:val="0"/>
        </w:rPr>
        <w:t>用户请求 → proxy 选择 P1 或 P2 → P 侧 prefill → P→D KV 交接 → D 侧生成 → 用户收到答案</w:t>
      </w:r>
    </w:p>
    <w:p>
      <w:r>
        <w:rPr>
          <w:b w:val="0"/>
        </w:rPr>
        <w:t>proxy 是入口路由组件。KVC 亲和是尽量把请求分给已经持有合适 KV 的实例，以减少重算或搬运；但过度集中路由也可能让某个 P 排队更久。因此高命中率与低时延未必同时出现。</w:t>
      </w:r>
    </w:p>
    <w:p>
      <w:pPr>
        <w:pStyle w:val="Heading1"/>
        <w:pageBreakBefore/>
      </w:pPr>
      <w:r>
        <w:t>基础5 “缓存开启”到底开启了什么</w:t>
      </w:r>
    </w:p>
    <w:p>
      <w:pPr>
        <w:pStyle w:val="Heading2"/>
      </w:pPr>
      <w:r>
        <w:t>基础5 1 必须分开的四条路径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1871"/>
        <w:gridCol w:w="3175"/>
        <w:gridCol w:w="2778"/>
      </w:tblGrid>
      <w:tr>
        <w:trPr>
          <w:cantSplit/>
          <w:tblHeader/>
        </w:trPr>
        <w:tc>
          <w:tcPr>
            <w:tcW w:type="dxa" w:w="1814"/>
            <w:vAlign w:val="center"/>
            <w:shd w:fill="E8EEF3"/>
            <w:tcMar>
              <w:top w:w="95" w:type="dxa"/>
              <w:bottom w:w="95" w:type="dxa"/>
              <w:left w:w="110" w:type="dxa"/>
              <w:right w:w="110" w:type="dxa"/>
            </w:tcMar>
          </w:tcPr>
          <w:p>
            <w:pPr>
              <w:spacing w:after="0" w:line="280" w:lineRule="exact"/>
            </w:pPr>
            <w:r>
              <w:rPr>
                <w:b/>
                <w:sz w:val="19"/>
              </w:rPr>
            </w:r>
            <w:r>
              <w:rPr>
                <w:b/>
                <w:sz w:val="19"/>
              </w:rPr>
              <w:t>路径</w:t>
            </w:r>
          </w:p>
        </w:tc>
        <w:tc>
          <w:tcPr>
            <w:tcW w:type="dxa" w:w="1871"/>
            <w:vAlign w:val="center"/>
            <w:shd w:fill="E8EEF3"/>
            <w:tcMar>
              <w:top w:w="95" w:type="dxa"/>
              <w:bottom w:w="95" w:type="dxa"/>
              <w:left w:w="110" w:type="dxa"/>
              <w:right w:w="110" w:type="dxa"/>
            </w:tcMar>
          </w:tcPr>
          <w:p>
            <w:pPr>
              <w:spacing w:after="0" w:line="280" w:lineRule="exact"/>
            </w:pPr>
            <w:r>
              <w:rPr>
                <w:b/>
                <w:sz w:val="19"/>
              </w:rPr>
            </w:r>
            <w:r>
              <w:rPr>
                <w:b/>
                <w:sz w:val="19"/>
              </w:rPr>
              <w:t>缓存在哪里、谁复用</w:t>
            </w:r>
          </w:p>
        </w:tc>
        <w:tc>
          <w:tcPr>
            <w:tcW w:type="dxa" w:w="3175"/>
            <w:vAlign w:val="center"/>
            <w:shd w:fill="E8EEF3"/>
            <w:tcMar>
              <w:top w:w="95" w:type="dxa"/>
              <w:bottom w:w="95" w:type="dxa"/>
              <w:left w:w="110" w:type="dxa"/>
              <w:right w:w="110" w:type="dxa"/>
            </w:tcMar>
          </w:tcPr>
          <w:p>
            <w:pPr>
              <w:spacing w:after="0" w:line="280" w:lineRule="exact"/>
            </w:pPr>
            <w:r>
              <w:rPr>
                <w:b/>
                <w:sz w:val="19"/>
              </w:rPr>
            </w:r>
            <w:r>
              <w:rPr>
                <w:b/>
                <w:sz w:val="19"/>
              </w:rPr>
              <w:t>主要收益</w:t>
            </w:r>
          </w:p>
        </w:tc>
        <w:tc>
          <w:tcPr>
            <w:tcW w:type="dxa" w:w="2778"/>
            <w:vAlign w:val="center"/>
            <w:shd w:fill="E8EEF3"/>
            <w:tcMar>
              <w:top w:w="95" w:type="dxa"/>
              <w:bottom w:w="95" w:type="dxa"/>
              <w:left w:w="110" w:type="dxa"/>
              <w:right w:w="110" w:type="dxa"/>
            </w:tcMar>
          </w:tcPr>
          <w:p>
            <w:pPr>
              <w:spacing w:after="0" w:line="280" w:lineRule="exact"/>
            </w:pPr>
            <w:r>
              <w:rPr>
                <w:b/>
                <w:sz w:val="19"/>
              </w:rPr>
            </w:r>
            <w:r>
              <w:rPr>
                <w:b/>
                <w:sz w:val="19"/>
              </w:rPr>
              <w:t>不能据此声称</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本地 APC，自动前缀缓存</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当前模型实例复用自己已有的前缀 KV</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减少相同前缀的重复 prefill</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其他实例已成功从共享池读取</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本地 CPU/SSD 卸载</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当前实例将 KV 放到设备之外，再按需加载</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增加可保存范围，可能降低设备内存压力</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已开启跨实例或跨机器共享</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外部共享缓存池</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多个实例经外部存储与传输系统复用 KV</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使一个实例计算的结果可被其他实例利用</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必须把全模型所有层作为一个不可分割对象</w:t>
            </w:r>
          </w:p>
        </w:tc>
      </w:tr>
      <w:tr>
        <w:trPr>
          <w:cantSplit/>
        </w:trPr>
        <w:tc>
          <w:tcPr>
            <w:tcW w:type="dxa" w:w="1814"/>
            <w:vAlign w:val="center"/>
            <w:shd w:fill="FFFFFF"/>
            <w:tcMar>
              <w:top w:w="95" w:type="dxa"/>
              <w:bottom w:w="95" w:type="dxa"/>
              <w:left w:w="110" w:type="dxa"/>
              <w:right w:w="110" w:type="dxa"/>
            </w:tcMar>
          </w:tcPr>
          <w:p>
            <w:pPr>
              <w:spacing w:after="0" w:line="280" w:lineRule="exact"/>
            </w:pPr>
            <w:r>
              <w:rPr>
                <w:b w:val="0"/>
                <w:sz w:val="19"/>
              </w:rPr>
            </w:r>
            <w:r>
              <w:rPr>
                <w:b w:val="0"/>
                <w:sz w:val="19"/>
              </w:rPr>
              <w:t>P→D KV 传输</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为同一次请求把 P 侧结果交给 D 侧</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让 PD 分离的服务完成生成</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已发生跨请求的前缀复用</w:t>
            </w:r>
          </w:p>
        </w:tc>
      </w:tr>
    </w:tbl>
    <w:p>
      <w:pPr>
        <w:spacing w:after="40" w:line="40" w:lineRule="exact"/>
      </w:pPr>
      <w:r>
        <w:rPr>
          <w:sz w:val="4"/>
        </w:rPr>
      </w:r>
    </w:p>
    <w:p>
      <w:r>
        <w:rPr>
          <w:b w:val="0"/>
        </w:rPr>
        <w:t>一套系统可能同时使用四条路径。客户说“池化开启”时，必须找到对应的实际配置和数据流，不能只按名称猜测。</w:t>
      </w:r>
    </w:p>
    <w:p>
      <w:pPr>
        <w:pStyle w:val="Heading2"/>
      </w:pPr>
      <w:r>
        <w:t>基础5 2 为什么“关池化”不能顺手关掉 P→D 传输</w:t>
      </w:r>
    </w:p>
    <w:p>
      <w:r>
        <w:rPr>
          <w:b w:val="0"/>
        </w:rPr>
        <w:t>在 PD 分离部署中，P→D 交接是请求正确执行所需的路径。如果为了测试共享池收益把它一起关掉，服务可能无法完成同一种任务。这个对照回答不了“共享复用是否导致劣化”。</w:t>
      </w:r>
    </w:p>
    <w:p>
      <w:r>
        <w:rPr>
          <w:b w:val="0"/>
        </w:rPr>
        <w:t>正确的第一步是确认两个能力是否有独立开关。测试共享复用时，模型、并行布局、路由和必要的 P→D 交接保持不变。若现场配置把两者绑定，应先说明无法直接进行单变量对照，而不是把启动失败当成性能下降。</w:t>
      </w:r>
    </w:p>
    <w:p>
      <w:pPr>
        <w:pStyle w:val="Heading2"/>
      </w:pPr>
      <w:r>
        <w:t>基础5 3 冷缓存与暖缓存 必须说明冷暖的是哪一层</w:t>
      </w:r>
    </w:p>
    <w:p>
      <w:r>
        <w:rPr>
          <w:b w:val="0"/>
        </w:rPr>
        <w:t>冷缓存指目标内容尚未在被测缓存中形成可用条目；暖缓存指事先已准备好目标内容。不能只说“已经预热”，还要写明本地 APC、CPU 缓存、外部共享池各自的状态。</w:t>
      </w:r>
    </w:p>
    <w:p>
      <w:r>
        <w:rPr>
          <w:b w:val="0"/>
        </w:rPr>
        <w:t>验证跨实例共享的一种典型思路是：让 P1 先产生并成功发布某个前缀的 KV，再让 P2 处理带同一前缀的请求；同时确保 P2 本地没有这份 KV，并从日志确认读取来自外部池。若两次请求都落在 P1，只能证明某种缓存可能有效，不能单独证明跨实例共享已走通。</w:t>
      </w:r>
    </w:p>
    <w:p>
      <w:r>
        <w:rPr>
          <w:b w:val="0"/>
        </w:rPr>
        <w:t>这里的清理与预热应使用受控测试命名空间、明确的缓存接口或隔离实例，不能为了制造“冷缓存”而随意删除现场公共数据。</w:t>
      </w:r>
    </w:p>
    <w:p>
      <w:pPr>
        <w:pStyle w:val="Heading1"/>
        <w:pageBreakBefore/>
      </w:pPr>
      <w:r>
        <w:t>基础6 软件组件地图 谁计算 谁管理 谁搬运</w:t>
      </w:r>
    </w:p>
    <w:p>
      <w:r>
        <w:rPr>
          <w:b w:val="0"/>
        </w:rPr>
        <w:t>把服务理解为多层协作，能避免把不同软件的限制混成一个根因。</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402"/>
        <w:gridCol w:w="3742"/>
      </w:tblGrid>
      <w:tr>
        <w:trPr>
          <w:cantSplit/>
          <w:tblHeader/>
        </w:trPr>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组件</w:t>
            </w:r>
          </w:p>
        </w:tc>
        <w:tc>
          <w:tcPr>
            <w:tcW w:type="dxa" w:w="3402"/>
            <w:vAlign w:val="center"/>
            <w:shd w:fill="E8EEF3"/>
            <w:tcMar>
              <w:top w:w="95" w:type="dxa"/>
              <w:bottom w:w="95" w:type="dxa"/>
              <w:left w:w="110" w:type="dxa"/>
              <w:right w:w="110" w:type="dxa"/>
            </w:tcMar>
          </w:tcPr>
          <w:p>
            <w:pPr>
              <w:spacing w:after="0" w:line="280" w:lineRule="exact"/>
            </w:pPr>
            <w:r>
              <w:rPr>
                <w:b/>
                <w:sz w:val="19"/>
              </w:rPr>
            </w:r>
            <w:r>
              <w:rPr>
                <w:b/>
                <w:sz w:val="19"/>
              </w:rPr>
              <w:t>在本问题中的职责</w:t>
            </w:r>
          </w:p>
        </w:tc>
        <w:tc>
          <w:tcPr>
            <w:tcW w:type="dxa" w:w="3742"/>
            <w:vAlign w:val="center"/>
            <w:shd w:fill="E8EEF3"/>
            <w:tcMar>
              <w:top w:w="95" w:type="dxa"/>
              <w:bottom w:w="95" w:type="dxa"/>
              <w:left w:w="110" w:type="dxa"/>
              <w:right w:w="110" w:type="dxa"/>
            </w:tcMar>
          </w:tcPr>
          <w:p>
            <w:pPr>
              <w:spacing w:after="0" w:line="280" w:lineRule="exact"/>
            </w:pPr>
            <w:r>
              <w:rPr>
                <w:b/>
                <w:sz w:val="19"/>
              </w:rPr>
            </w:r>
            <w:r>
              <w:rPr>
                <w:b/>
                <w:sz w:val="19"/>
              </w:rPr>
              <w:t>应保留的边界</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vLLM</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模型服务、请求调度与 KV 管理等推理框架能力</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同名配置在不同版本中的行为可能变化</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vllm-ascend</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vLLM 的昇腾适配实现与相关集成</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具体模型、connector 和并行模式的支持需逐项确认</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connector，连接器</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将推理框架的 KV 生命周期接到外部存储或传输实现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“能加载连接器”只证明入口存在，不证明命中或性能</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AscendStoreConnector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当前公开栈中的外部 KV Pool 接入路径之一</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客户是否使用它，要看实际 kv_transfer_config</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MooncakeConnectorV1</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当前公开栈中的 P→D 传输路径之一</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不能仅凭 Mooncake 名称认定它与 Store 的配置相同</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MultiConnector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组合多个连接器的方式</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必须辨认每个子连接器负责的方向和角色</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Mooncake Store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提供缓存对象保存、查找和读取等存储侧能力</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对象可以由上层按阶段分片组织</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Transfer Engine，传输引擎，简称 TE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根据地址、目标区域和长度完成数据搬运</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搬运成功不自动保证上层缓存语义正确</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HIXL</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本场景涉及的数据传输相关软件能力</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实际调用路径、版本与内存模式均需确认</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fabric mem</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材料所述的一种内存访问/传输模式</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是具体工程路径，不等同于全部 Mooncake 传输，也不是 PP 的别名</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LMCache / LMCache-Ascend</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另一条缓存引擎及其昇腾适配路线</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其后端互斥或 first-rank 风险不能直接作为客户 Mooncake 根因</w:t>
            </w:r>
          </w:p>
        </w:tc>
      </w:tr>
    </w:tbl>
    <w:p>
      <w:pPr>
        <w:spacing w:after="40" w:line="40" w:lineRule="exact"/>
      </w:pPr>
      <w:r>
        <w:rPr>
          <w:sz w:val="4"/>
        </w:rPr>
      </w:r>
    </w:p>
    <w:p>
      <w:r>
        <w:rPr>
          <w:b w:val="0"/>
        </w:rPr>
        <w:t>use_layerwise</w:t>
      </w:r>
      <w:r>
        <w:rPr>
          <w:b w:val="0"/>
        </w:rPr>
        <w:t xml:space="preserve"> 表示某条实现是否以按层保存或加载的方式工作；PP 表示模型层如何分配到阶段。PP 阶段可以一次处理自己负责的多层 KV，因此 </w:t>
      </w:r>
      <w:r>
        <w:rPr>
          <w:b/>
        </w:rPr>
        <w:t>PP 开启不自动要求 use_layerwise=true</w:t>
      </w:r>
      <w:r>
        <w:rPr>
          <w:b w:val="0"/>
        </w:rPr>
        <w:t>。</w:t>
      </w:r>
    </w:p>
    <w:p>
      <w:r>
        <w:rPr>
          <w:b w:val="0"/>
        </w:rPr>
        <w:t>源码中存在一个功能、公开文档称某路径支持 PP、现场正确加载并通过测试，是三种不同证据。当前代码的能力也不能倒推客户数周前的镜像已经具有相同能力。</w:t>
      </w:r>
    </w:p>
    <w:p>
      <w:pPr>
        <w:pStyle w:val="Heading1"/>
        <w:pageBreakBefore/>
      </w:pPr>
      <w:r>
        <w:t>基础7 缓存的一生 读路径之外 还要看写路径</w:t>
      </w:r>
    </w:p>
    <w:p>
      <w:pPr>
        <w:pStyle w:val="Heading2"/>
      </w:pPr>
      <w:r>
        <w:t>基础7 1 写入端 计算完成不等于缓存已可复用</w:t>
      </w:r>
    </w:p>
    <w:p>
      <w:r>
        <w:rPr>
          <w:b w:val="0"/>
        </w:rPr>
        <w:t>一段 KV 在 P 侧生成后，系统可能需要：准备待保存的数据和元信息 → PUT 写入 → 等待相关数据操作完成 → 使缓存条目对其他请求可见。实际实现可能合并或交错这些步骤，实验不能强行套用不存在的阶段名。</w:t>
      </w:r>
    </w:p>
    <w:p>
      <w:r>
        <w:rPr>
          <w:b w:val="0"/>
        </w:rPr>
        <w:t>PUT 类比把书送到仓库。提交了“送书申请”不等于书已经到库，更不等于书目已经可检索。相应地，异步接口返回可能只代表任务已进入队列，不能把这时刻视为“缓存已经发布完成”。</w:t>
      </w:r>
    </w:p>
    <w:p>
      <w:r>
        <w:rPr>
          <w:b w:val="0"/>
        </w:rPr>
        <w:t>异步保存可以与计算重叠，但后续要复用同一块缓冲区时，可能必须等待之前的保存结束。等待点可能出现在下一个调度步，因此“当前请求的 PUT 提交很快”不代表保存对整条流水线没有影响。</w:t>
      </w:r>
    </w:p>
    <w:p>
      <w:pPr>
        <w:pStyle w:val="Heading2"/>
      </w:pPr>
      <w:r>
        <w:t>基础7 2 读取端 查到 取到 写对 少算是四件事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证据层次</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最少要证明什么</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只到这一层仍不能证明什么</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lookup，查找命中</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索引说目标条目存在或有可复用 token</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数据尚未证明实际拿到</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GET / pull，读取完成</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所需缓存分片成功读取</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不证明所有 PP 阶段数据完整，也不证明写入位置正确</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writeback / scatter，写回完成</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数据落入当前推理引擎所需的 KV 块与布局</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不证明调度器真正跳过了相应计算</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effective reuse，有效复用</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必要阶段齐全且相应 prefill 计算确实减少</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不保证节省的计算大于查询、读写与同步成本</w:t>
            </w:r>
          </w:p>
        </w:tc>
      </w:tr>
    </w:tbl>
    <w:p>
      <w:pPr>
        <w:spacing w:after="40" w:line="40" w:lineRule="exact"/>
      </w:pPr>
      <w:r>
        <w:rPr>
          <w:sz w:val="4"/>
        </w:rPr>
      </w:r>
    </w:p>
    <w:p>
      <w:r>
        <w:rPr>
          <w:b w:val="0"/>
        </w:rPr>
        <w:t>PP 场景中，一个阶段命中而另一个阶段缺少所需分片，不足以声称请求已经获得完整复用。具体完整性判断可能按阶段、cache group 或其他粒度聚合，必须以当前实现定义为准。</w:t>
      </w:r>
    </w:p>
    <w:p>
      <w:r>
        <w:rPr>
          <w:b w:val="0"/>
        </w:rPr>
        <w:t>若读取失败，框架可能回退到本地重算。结果仍能正确生成，但付出了“失败搬运 + 重算”的额外代价。此时业务成功率可能很高，内部传输失败率却不为零，两者都需要记录。</w:t>
      </w:r>
    </w:p>
    <w:p>
      <w:pPr>
        <w:pStyle w:val="Heading2"/>
      </w:pPr>
      <w:r>
        <w:t>基础7 3 关键路径 不能把所有耗时直接相加</w:t>
      </w:r>
    </w:p>
    <w:p>
      <w:r>
        <w:rPr>
          <w:b w:val="0"/>
        </w:rPr>
        <w:t>假设计算需要 8 ms，缓存传输需要 5 ms。如果二者完全依次发生，该段耗时可能接近 13 ms；如果充分重叠，可能接近 8 ms；如果还有前置依赖或资源竞争，则又会不同。这些数字只是解释重叠关系。</w:t>
      </w:r>
    </w:p>
    <w:p>
      <w:r>
        <w:rPr>
          <w:b w:val="0"/>
        </w:rPr>
        <w:t>关键路径是完成请求必须依次经过的最长依赖链。定位性能时要找到关键路径上实际增加的等待，而不只是寻找“累计耗时最多的函数”。多个 PP 阶段、多个请求和后台保存可以重叠，简单相加会把并行工作误算为用户等待。</w:t>
      </w:r>
    </w:p>
    <w:p>
      <w:pPr>
        <w:pStyle w:val="Heading1"/>
        <w:pageBreakBefore/>
      </w:pPr>
      <w:r>
        <w:t>基础8 怎样读实验结果 测试方法与指标基础</w:t>
      </w:r>
    </w:p>
    <w:p>
      <w:pPr>
        <w:pStyle w:val="Heading2"/>
      </w:pPr>
      <w:r>
        <w:t>基础8 1 对照组 变量与用例</w:t>
      </w:r>
    </w:p>
    <w:p>
      <w:r>
        <w:rPr>
          <w:b w:val="0"/>
        </w:rPr>
        <w:t>本指南把一个要回答的问题称为“逻辑用例”，它可以包含开与关等多个测试条件；一次运行是在一个条件下发送一批请求。重复运行用于估计自然波动。减少逻辑用例不等于只跑一次请求，必须同时报告条件数、运行轮数和请求数。</w:t>
      </w:r>
    </w:p>
    <w:p>
      <w:r>
        <w:rPr>
          <w:b w:val="0"/>
        </w:rPr>
        <w:t>对照组是用于比较的基准条件；实验组只改变想研究的因素。若同时改镜像、TP、DP、PP、缓存引擎和数据集，虽然可能得到更好的分数，却很难知道是哪项改动起作用。</w:t>
      </w:r>
    </w:p>
    <w:p>
      <w:r>
        <w:rPr>
          <w:b w:val="0"/>
        </w:rPr>
        <w:t>机制定位回答“为什么”；部署比较回答“这一整套配置是否更合适”。两者都合理，但结论不同。用户希望最少用例定位时，应先找同一现场配置里的异常，再只对这个异常做一项有针对性的改变，避免一开始穷举所有组合。</w:t>
      </w:r>
    </w:p>
    <w:p>
      <w:pPr>
        <w:pStyle w:val="Heading2"/>
      </w:pPr>
      <w:r>
        <w:t>基础8 2 业务指标 用户究竟感受到什么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402"/>
        <w:gridCol w:w="3742"/>
      </w:tblGrid>
      <w:tr>
        <w:trPr>
          <w:cantSplit/>
          <w:tblHeader/>
        </w:trPr>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指标</w:t>
            </w:r>
          </w:p>
        </w:tc>
        <w:tc>
          <w:tcPr>
            <w:tcW w:type="dxa" w:w="3402"/>
            <w:vAlign w:val="center"/>
            <w:shd w:fill="E8EEF3"/>
            <w:tcMar>
              <w:top w:w="95" w:type="dxa"/>
              <w:bottom w:w="95" w:type="dxa"/>
              <w:left w:w="110" w:type="dxa"/>
              <w:right w:w="110" w:type="dxa"/>
            </w:tcMar>
          </w:tcPr>
          <w:p>
            <w:pPr>
              <w:spacing w:after="0" w:line="280" w:lineRule="exact"/>
            </w:pPr>
            <w:r>
              <w:rPr>
                <w:b/>
                <w:sz w:val="19"/>
              </w:rPr>
            </w:r>
            <w:r>
              <w:rPr>
                <w:b/>
                <w:sz w:val="19"/>
              </w:rPr>
              <w:t>定义与单位</w:t>
            </w:r>
          </w:p>
        </w:tc>
        <w:tc>
          <w:tcPr>
            <w:tcW w:type="dxa" w:w="3742"/>
            <w:vAlign w:val="center"/>
            <w:shd w:fill="E8EEF3"/>
            <w:tcMar>
              <w:top w:w="95" w:type="dxa"/>
              <w:bottom w:w="95" w:type="dxa"/>
              <w:left w:w="110" w:type="dxa"/>
              <w:right w:w="110" w:type="dxa"/>
            </w:tcMar>
          </w:tcPr>
          <w:p>
            <w:pPr>
              <w:spacing w:after="0" w:line="280" w:lineRule="exact"/>
            </w:pPr>
            <w:r>
              <w:rPr>
                <w:b/>
                <w:sz w:val="19"/>
              </w:rPr>
            </w:r>
            <w:r>
              <w:rPr>
                <w:b/>
                <w:sz w:val="19"/>
              </w:rPr>
              <w:t>读数注意事项</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请求成功率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成功完成请求数 ÷ 发出请求数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说明超时、错误输出、取消是否算失败</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TTFT，首 token 时延</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客户端发出请求到收到第一个输出 token 的时间，常用 ms</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包含客户端与服务链路可见的等待，不等于纯 prefill 计算</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E2E，端到端时延</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请求发出到输出完成的总时间，常用 ms 或 s</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输入、输出长度不同会影响结果</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TPOT，每输出 token 平均时间</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输出不少于 2 token 时，通常为 (E2E−TTFT) ÷ (输出 token 数−1)</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每请求计算还是对全体聚合，需要明确</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ITL，相邻输出间隔</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流式输出中相邻 token 或事件之间的间隔</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投机解码可能一批产生多个 token，不能无条件等同 TPOT</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输出吞吐</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统计窗口内成功请求的输出 token 总量 ÷ 窗口时长，单位 tokens/s</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写明是否包含输入 token、失败请求，以及窗口范围</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请求吞吐</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完成请求数 ÷ 时间，单位 requests/s</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输入输出长度改变后，不可与 tokens/s 直接互换</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SLO，服务目标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事先约定的成功率、时延或吞吐要求</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“达标吞吐”需明确达到哪条时延和成功率条件</w:t>
            </w:r>
          </w:p>
        </w:tc>
      </w:tr>
    </w:tbl>
    <w:p>
      <w:pPr>
        <w:spacing w:after="40" w:line="40" w:lineRule="exact"/>
      </w:pPr>
      <w:r>
        <w:rPr>
          <w:sz w:val="4"/>
        </w:rPr>
      </w:r>
    </w:p>
    <w:p>
      <w:r>
        <w:rPr>
          <w:b w:val="0"/>
        </w:rPr>
        <w:t>例如某请求 TTFT 为 0.5 s，E2E 为 2.5 s，输出 101 token，则按上述定义 TPOT 为 (2.5−0.5)÷100＝0.02 s，即 20 ms。这个平均值不能说明每一个 token 的间隔都等于 20 ms。</w:t>
      </w:r>
    </w:p>
    <w:p>
      <w:pPr>
        <w:pStyle w:val="Heading2"/>
      </w:pPr>
      <w:r>
        <w:t>基础8 3 P50 P95 P99 平均值以外的等待</w:t>
      </w:r>
    </w:p>
    <w:p>
      <w:r>
        <w:rPr>
          <w:b w:val="0"/>
        </w:rPr>
        <w:t>将一批请求的时延从小到大排列，P50 是中间位置附近的值；P99 是约 99% 样本不超过的值。P99 用于观察少数很慢的请求，通常称尾延迟。</w:t>
      </w:r>
    </w:p>
    <w:p>
      <w:r>
        <w:rPr>
          <w:b w:val="0"/>
        </w:rPr>
        <w:t>P99 不是“最慢的 1% 的平均值”，也不是最大值。少量样本的 P99 容易被一两个请求支配。必须同时报告样本量，样本不足时不能凭 P99 的单个数字下稳定性结论。</w:t>
      </w:r>
    </w:p>
    <w:p>
      <w:pPr>
        <w:pStyle w:val="Heading2"/>
      </w:pPr>
      <w:r>
        <w:t>基础8 4 到达率 并发与满载 压测工具如何发请求</w:t>
      </w:r>
    </w:p>
    <w:p>
      <w:r>
        <w:rPr>
          <w:b w:val="0"/>
        </w:rPr>
        <w:t>开放式负载按计划到达率发请求，例如每秒 2 个；服务变慢时在途请求和队列可能增长。封闭式负载维持一定数量的并发请求，例如始终最多 8 个请求在处理，完成一个再发下一个。</w:t>
      </w:r>
    </w:p>
    <w:p>
      <w:r>
        <w:rPr>
          <w:b w:val="0"/>
        </w:rPr>
        <w:t>QPS 常用于表示每秒请求数，但要分清“计划发送”“实际发送”和“成功完成”的口径。并发 8 不等于 QPS 8；工具里的 num-users 也不自动等于稳定并发。</w:t>
      </w:r>
    </w:p>
    <w:p>
      <w:r>
        <w:rPr>
          <w:b w:val="0"/>
        </w:rPr>
        <w:t>低到达率适合观察单请求链路，却不一定能量出系统最大吞吐；高并发能暴露排队与资源竞争，却可能把缓存本身的代价和排队代价混在一起。因此初次定位通常先用少量请求确认正确性与路径，再在一个明确的业务负载点做性能对照。</w:t>
      </w:r>
    </w:p>
    <w:p>
      <w:pPr>
        <w:pStyle w:val="Heading2"/>
      </w:pPr>
      <w:r>
        <w:t>基础8 5 缓存与传输指标 收益和成本要同时记录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402"/>
        <w:gridCol w:w="3742"/>
      </w:tblGrid>
      <w:tr>
        <w:trPr>
          <w:cantSplit/>
          <w:tblHeader/>
        </w:trPr>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指标</w:t>
            </w:r>
          </w:p>
        </w:tc>
        <w:tc>
          <w:tcPr>
            <w:tcW w:type="dxa" w:w="3402"/>
            <w:vAlign w:val="center"/>
            <w:shd w:fill="E8EEF3"/>
            <w:tcMar>
              <w:top w:w="95" w:type="dxa"/>
              <w:bottom w:w="95" w:type="dxa"/>
              <w:left w:w="110" w:type="dxa"/>
              <w:right w:w="110" w:type="dxa"/>
            </w:tcMar>
          </w:tcPr>
          <w:p>
            <w:pPr>
              <w:spacing w:after="0" w:line="280" w:lineRule="exact"/>
            </w:pPr>
            <w:r>
              <w:rPr>
                <w:b/>
                <w:sz w:val="19"/>
              </w:rPr>
            </w:r>
            <w:r>
              <w:rPr>
                <w:b/>
                <w:sz w:val="19"/>
              </w:rPr>
              <w:t>建议口径</w:t>
            </w:r>
          </w:p>
        </w:tc>
        <w:tc>
          <w:tcPr>
            <w:tcW w:type="dxa" w:w="3742"/>
            <w:vAlign w:val="center"/>
            <w:shd w:fill="E8EEF3"/>
            <w:tcMar>
              <w:top w:w="95" w:type="dxa"/>
              <w:bottom w:w="95" w:type="dxa"/>
              <w:left w:w="110" w:type="dxa"/>
              <w:right w:w="110" w:type="dxa"/>
            </w:tcMar>
          </w:tcPr>
          <w:p>
            <w:pPr>
              <w:spacing w:after="0" w:line="280" w:lineRule="exact"/>
            </w:pPr>
            <w:r>
              <w:rPr>
                <w:b/>
                <w:sz w:val="19"/>
              </w:rPr>
            </w:r>
            <w:r>
              <w:rPr>
                <w:b/>
                <w:sz w:val="19"/>
              </w:rPr>
              <w:t>为什么需要</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理论可复用比例</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设计为相同前缀的 token ÷ 总输入 token</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描述负载设计，不伪装成实际命中结果</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外部逻辑命中率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由实际 lookup 返回定义，分别记录请求或 token 口径</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检查索引发现了多少可用内容</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有效外部复用率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归因于外部缓存且最终实际省去的 prefill token ÷ 该批总输入 token</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将外部收益与本地 APC 分开，不重复计数；明确块对齐等边界</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传输失败率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失败传输次数 ÷ 传输尝试次数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必须说明重试按独立尝试还是一次逻辑操作统计</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回退率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发生缓存失败重算的请求数 ÷ 相关请求总数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解释服务成功但性能变差的情况</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GET / PUT 字节数与次数</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每请求、每阶段及整轮分别统计</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区分读写成本、碎片化和重复传输</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保存等待 / 读取等待</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在确定事件边界之间测量的时长</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关注关键路径上没有被其他计算隐藏的部分</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HBM / Host 峰值</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相应资源的最大占用及采样频率</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检查容量、淘汰、缓冲上限或资源竞争</w:t>
            </w:r>
          </w:p>
        </w:tc>
      </w:tr>
    </w:tbl>
    <w:p>
      <w:pPr>
        <w:spacing w:after="40" w:line="40" w:lineRule="exact"/>
      </w:pPr>
      <w:r>
        <w:rPr>
          <w:sz w:val="4"/>
        </w:rPr>
      </w:r>
    </w:p>
    <w:p>
      <w:r>
        <w:rPr>
          <w:b w:val="0"/>
        </w:rPr>
        <w:t>如果当前系统不能直接输出“实际少算 token”，应将它标为待补充观测，或使用明确标注的可核查替代证据。不能用 lookup 命中 token 直接改名充当有效复用。</w:t>
      </w:r>
    </w:p>
    <w:p>
      <w:pPr>
        <w:pStyle w:val="Heading2"/>
        <w:pageBreakBefore/>
      </w:pPr>
      <w:r>
        <w:t>基础8 6 比值 百分点与交互项</w:t>
      </w:r>
    </w:p>
    <w:p>
      <w:r>
        <w:rPr>
          <w:b w:val="0"/>
        </w:rPr>
        <w:t>时延从 100 ms 降到 90 ms，是降低 10%；成功率从 98% 到 99%，是上升 1 个百分点，相对提升约 1.02%。指标越大越好还是越小越好，必须先说明。</w:t>
      </w:r>
    </w:p>
    <w:p>
      <w:r>
        <w:rPr>
          <w:b w:val="0"/>
        </w:rPr>
        <w:t>对“无 PP / 有 PP”各自的缓存开关收益，需要四组：A 无 PP 无复用；B 无 PP 有复用；C 有 PP 无复用；D 有 PP 有复用。若 Y 是可比较的同口径原始耗时，交互项为：</w:t>
      </w:r>
    </w:p>
    <w:p>
      <m:oMath>
        <m:r>
          <m:t>I = </m:t>
        </m:r>
        <m:sSub>
          <m:e>
            <m:r>
              <m:t>Y</m:t>
            </m:r>
          </m:e>
          <m:sub>
            <m:r>
              <m:t>D</m:t>
            </m:r>
          </m:sub>
        </m:sSub>
        <m:r>
          <m:t> − </m:t>
        </m:r>
        <m:sSub>
          <m:e>
            <m:r>
              <m:t>Y</m:t>
            </m:r>
          </m:e>
          <m:sub>
            <m:r>
              <m:t>C</m:t>
            </m:r>
          </m:sub>
        </m:sSub>
        <m:r>
          <m:t> − </m:t>
        </m:r>
        <m:sSub>
          <m:e>
            <m:r>
              <m:t>Y</m:t>
            </m:r>
          </m:e>
          <m:sub>
            <m:r>
              <m:t>B</m:t>
            </m:r>
          </m:sub>
        </m:sSub>
        <m:r>
          <m:t> + </m:t>
        </m:r>
        <m:sSub>
          <m:e>
            <m:r>
              <m:t>Y</m:t>
            </m:r>
          </m:e>
          <m:sub>
            <m:r>
              <m:t>A</m:t>
            </m:r>
          </m:sub>
        </m:sSub>
      </m:oMath>
      <w:r>
        <w:rPr>
          <w:b w:val="0"/>
        </w:rPr>
        <w:t>。也就是先算D相对C的变化，再减去B相对A的变化。</w:t>
      </w:r>
    </w:p>
    <w:p>
      <w:r>
        <w:rPr>
          <w:b w:val="0"/>
        </w:rPr>
        <w:t>前一项表示 PP 布局内“开复用改变了多少耗时”；后一项表示无 PP 布局内同一件事改变了多少。两者之差才是该尺度上的交互。若 I 为正，表示 PP 布局中的复用效果比另一布局更差一些，但必须同时检查两种布局是否还改变了 DP、TP 等条件。</w:t>
      </w:r>
    </w:p>
    <w:p>
      <w:r>
        <w:rPr>
          <w:b w:val="0"/>
        </w:rPr>
        <w:t>例：A＝100 ms、B＝80 ms、C＝120 ms、D＝115 ms。无 PP 时复用节省 20 ms；有 PP 时仅节省 5 ms；I＝15 ms。但是 D 仍比 C 快，不能写成“PP 下开启缓存让请求变慢”。</w:t>
      </w:r>
    </w:p>
    <w:p>
      <w:r>
        <w:rPr>
          <w:b w:val="0"/>
        </w:rPr>
        <w:t>交互项只能帮助描述对照结果，不能告诉我们具体是哪一行代码导致它，也不建议为了计算它而在资源不足时强行改动多个并行参数。</w:t>
      </w:r>
    </w:p>
    <w:p>
      <w:pPr>
        <w:pStyle w:val="Heading2"/>
      </w:pPr>
      <w:r>
        <w:t>基础8 7 相关 候选原因与已确认根因</w:t>
      </w:r>
    </w:p>
    <w:p>
      <w:r>
        <w:rPr>
          <w:b w:val="0"/>
        </w:rPr>
        <w:t>“开缓存时变慢”是现象；“某个等待变长”是定位线索；“只改变这一等待的实现，异常消失且指标恢复；恢复旧条件可再现”才更接近因果闭环。</w:t>
      </w:r>
    </w:p>
    <w:p>
      <w:r>
        <w:rPr>
          <w:b w:val="0"/>
        </w:rPr>
        <w:t>公开 issue 描述相似故障，可以提升排查优先级；某个 PR 修复相关问题，可以提供对照候选。但 issue 自动关闭不等于已修复，PR 合并不等于客户已经使用，也不等于客户问题已经被实验解决。</w:t>
      </w:r>
    </w:p>
    <w:p>
      <w:r>
        <w:rPr>
          <w:b w:val="0"/>
        </w:rPr>
        <w:t>实验停止条件应分层：配置不可启动、输出不正确、传输失败回退、有效复用不足、有效复用正常但净成本过高，分别形成不同结论。不要把它们统称为“池化与 PP 不兼容”。</w:t>
      </w:r>
    </w:p>
    <w:p>
      <w:pPr>
        <w:pStyle w:val="Heading1"/>
        <w:pageBreakBefore/>
      </w:pPr>
      <w:r>
        <w:t>实验总表和结论层级</w:t>
      </w:r>
    </w:p>
    <w:p>
      <w:pPr>
        <w:pStyle w:val="Heading2"/>
      </w:pPr>
      <w:r>
        <w:t>这套实验能确认到哪一步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jc w:val="center"/>
            </w:pPr>
            <w:r>
              <w:rPr>
                <w:b/>
                <w:sz w:val="19"/>
              </w:rPr>
            </w:r>
            <w:r>
              <w:rPr>
                <w:b/>
                <w:sz w:val="19"/>
              </w:rPr>
              <w:t>层级</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想确认的结论</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对应证据</w:t>
            </w:r>
          </w:p>
        </w:tc>
      </w:tr>
      <w:tr>
        <w:trPr>
          <w:cantSplit/>
        </w:trPr>
        <w:tc>
          <w:tcPr>
            <w:tcW w:type="dxa" w:w="2721"/>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L1 现象</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客户当前PP布局下，池化开关是否改变业务性能</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M2与M3的同配置重复对照</w:t>
            </w:r>
          </w:p>
        </w:tc>
      </w:tr>
      <w:tr>
        <w:trPr>
          <w:cantSplit/>
        </w:trPr>
        <w:tc>
          <w:tcPr>
            <w:tcW w:type="dxa" w:w="2721"/>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L2 链路</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P1产生的KV是否真的被P2使用并减少计算</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M1完整证据链，M3持续验证</w:t>
            </w:r>
          </w:p>
        </w:tc>
      </w:tr>
      <w:tr>
        <w:trPr>
          <w:cantSplit/>
        </w:trPr>
        <w:tc>
          <w:tcPr>
            <w:tcW w:type="dxa" w:w="2721"/>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L3 布局交互</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两种明确并行布局中的复用收益是否不同</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追加X1，解释资源与DP/TP差异</w:t>
            </w:r>
          </w:p>
        </w:tc>
      </w:tr>
      <w:tr>
        <w:trPr>
          <w:cantSplit/>
        </w:trPr>
        <w:tc>
          <w:tcPr>
            <w:tcW w:type="dxa" w:w="2721"/>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L4 根因</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哪一项实现或配置造成现场异常</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M4受控修正、异常消失、业务改善和回退复现</w:t>
            </w:r>
          </w:p>
        </w:tc>
      </w:tr>
    </w:tbl>
    <w:p>
      <w:pPr>
        <w:spacing w:after="40" w:line="40" w:lineRule="exact"/>
      </w:pPr>
      <w:r>
        <w:rPr>
          <w:sz w:val="4"/>
        </w:rPr>
      </w:r>
    </w:p>
    <w:p>
      <w:r>
        <w:rPr>
          <w:b w:val="0"/>
        </w:rPr>
        <w:t>有限实验不能证明所有版本的“池化与PP永远兼容或永远冲突”。它能确认某个模型、版本、拓扑和负载下的现象与机制。M4可以在原PP布局上确认一个同步点造成的损失，不必为了修复一个具体问题强行先跑四象限。</w:t>
      </w:r>
    </w:p>
    <w:p>
      <w:pPr>
        <w:pStyle w:val="Heading2"/>
      </w:pPr>
      <w:r>
        <w:t>最少逻辑用例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2268"/>
        <w:gridCol w:w="3005"/>
        <w:gridCol w:w="2438"/>
      </w:tblGrid>
      <w:tr>
        <w:trPr>
          <w:cantSplit/>
          <w:tblHeader/>
        </w:trPr>
        <w:tc>
          <w:tcPr>
            <w:tcW w:type="dxa" w:w="1928"/>
            <w:vAlign w:val="center"/>
            <w:shd w:fill="E8EEF3"/>
            <w:tcMar>
              <w:top w:w="95" w:type="dxa"/>
              <w:bottom w:w="95" w:type="dxa"/>
              <w:left w:w="110" w:type="dxa"/>
              <w:right w:w="110" w:type="dxa"/>
            </w:tcMar>
          </w:tcPr>
          <w:p>
            <w:pPr>
              <w:spacing w:after="0" w:line="280" w:lineRule="exact"/>
            </w:pPr>
            <w:r>
              <w:rPr>
                <w:b/>
                <w:sz w:val="19"/>
              </w:rPr>
            </w:r>
            <w:r>
              <w:rPr>
                <w:b/>
                <w:sz w:val="19"/>
              </w:rPr>
              <w:t>用例</w:t>
            </w:r>
          </w:p>
        </w:tc>
        <w:tc>
          <w:tcPr>
            <w:tcW w:type="dxa" w:w="2268"/>
            <w:vAlign w:val="center"/>
            <w:shd w:fill="E8EEF3"/>
            <w:tcMar>
              <w:top w:w="95" w:type="dxa"/>
              <w:bottom w:w="95" w:type="dxa"/>
              <w:left w:w="110" w:type="dxa"/>
              <w:right w:w="110" w:type="dxa"/>
            </w:tcMar>
          </w:tcPr>
          <w:p>
            <w:pPr>
              <w:spacing w:after="0" w:line="280" w:lineRule="exact"/>
            </w:pPr>
            <w:r>
              <w:rPr>
                <w:b/>
                <w:sz w:val="19"/>
              </w:rPr>
            </w:r>
            <w:r>
              <w:rPr>
                <w:b/>
                <w:sz w:val="19"/>
              </w:rPr>
              <w:t>实际条件数</w:t>
            </w:r>
          </w:p>
        </w:tc>
        <w:tc>
          <w:tcPr>
            <w:tcW w:type="dxa" w:w="3005"/>
            <w:vAlign w:val="center"/>
            <w:shd w:fill="E8EEF3"/>
            <w:tcMar>
              <w:top w:w="95" w:type="dxa"/>
              <w:bottom w:w="95" w:type="dxa"/>
              <w:left w:w="110" w:type="dxa"/>
              <w:right w:w="110" w:type="dxa"/>
            </w:tcMar>
          </w:tcPr>
          <w:p>
            <w:pPr>
              <w:spacing w:after="0" w:line="280" w:lineRule="exact"/>
            </w:pPr>
            <w:r>
              <w:rPr>
                <w:b/>
                <w:sz w:val="19"/>
              </w:rPr>
            </w:r>
            <w:r>
              <w:rPr>
                <w:b/>
                <w:sz w:val="19"/>
              </w:rPr>
              <w:t>要回答的问题</w:t>
            </w:r>
          </w:p>
        </w:tc>
        <w:tc>
          <w:tcPr>
            <w:tcW w:type="dxa" w:w="2438"/>
            <w:vAlign w:val="center"/>
            <w:shd w:fill="E8EEF3"/>
            <w:tcMar>
              <w:top w:w="95" w:type="dxa"/>
              <w:bottom w:w="95" w:type="dxa"/>
              <w:left w:w="110" w:type="dxa"/>
              <w:right w:w="110" w:type="dxa"/>
            </w:tcMar>
          </w:tcPr>
          <w:p>
            <w:pPr>
              <w:spacing w:after="0" w:line="280" w:lineRule="exact"/>
            </w:pPr>
            <w:r>
              <w:rPr>
                <w:b/>
                <w:sz w:val="19"/>
              </w:rPr>
            </w:r>
            <w:r>
              <w:rPr>
                <w:b/>
                <w:sz w:val="19"/>
              </w:rPr>
              <w:t>何时停止或追加</w:t>
            </w:r>
          </w:p>
        </w:tc>
      </w:tr>
      <w:tr>
        <w:trPr>
          <w:cantSplit/>
        </w:trPr>
        <w:tc>
          <w:tcPr>
            <w:tcW w:type="dxa" w:w="1928"/>
            <w:vAlign w:val="center"/>
            <w:shd w:fill="FFFFFF"/>
            <w:tcMar>
              <w:top w:w="95" w:type="dxa"/>
              <w:bottom w:w="95" w:type="dxa"/>
              <w:left w:w="110" w:type="dxa"/>
              <w:right w:w="110" w:type="dxa"/>
            </w:tcMar>
          </w:tcPr>
          <w:p>
            <w:pPr>
              <w:spacing w:after="0" w:line="280" w:lineRule="exact"/>
            </w:pPr>
            <w:r>
              <w:rPr>
                <w:b w:val="0"/>
                <w:sz w:val="19"/>
              </w:rPr>
            </w:r>
            <w:r>
              <w:rPr>
                <w:b w:val="0"/>
                <w:sz w:val="19"/>
              </w:rPr>
              <w:t>M1 跨P链路与正确性</w:t>
            </w:r>
          </w:p>
        </w:tc>
        <w:tc>
          <w:tcPr>
            <w:tcW w:type="dxa" w:w="2268"/>
            <w:vAlign w:val="center"/>
            <w:shd w:fill="FFFFFF"/>
            <w:tcMar>
              <w:top w:w="95" w:type="dxa"/>
              <w:bottom w:w="95" w:type="dxa"/>
              <w:left w:w="110" w:type="dxa"/>
              <w:right w:w="110" w:type="dxa"/>
            </w:tcMar>
          </w:tcPr>
          <w:p>
            <w:pPr>
              <w:spacing w:after="0" w:line="280" w:lineRule="exact"/>
            </w:pPr>
            <w:r>
              <w:rPr>
                <w:b w:val="0"/>
                <w:sz w:val="19"/>
              </w:rPr>
            </w:r>
            <w:r>
              <w:rPr>
                <w:b w:val="0"/>
                <w:sz w:val="19"/>
              </w:rPr>
              <w:t>关池参考、P1预热后P2复用、新前缀负对照</w:t>
            </w:r>
          </w:p>
        </w:tc>
        <w:tc>
          <w:tcPr>
            <w:tcW w:type="dxa" w:w="3005"/>
            <w:vAlign w:val="center"/>
            <w:shd w:fill="FFFFFF"/>
            <w:tcMar>
              <w:top w:w="95" w:type="dxa"/>
              <w:bottom w:w="95" w:type="dxa"/>
              <w:left w:w="110" w:type="dxa"/>
              <w:right w:w="110" w:type="dxa"/>
            </w:tcMar>
          </w:tcPr>
          <w:p>
            <w:pPr>
              <w:spacing w:after="0" w:line="280" w:lineRule="exact"/>
            </w:pPr>
            <w:r>
              <w:rPr>
                <w:b w:val="0"/>
                <w:sz w:val="19"/>
              </w:rPr>
            </w:r>
            <w:r>
              <w:rPr>
                <w:b w:val="0"/>
                <w:sz w:val="19"/>
              </w:rPr>
              <w:t>远端缓存是否完整加载并真正少算</w:t>
            </w:r>
          </w:p>
        </w:tc>
        <w:tc>
          <w:tcPr>
            <w:tcW w:type="dxa" w:w="2438"/>
            <w:vAlign w:val="center"/>
            <w:shd w:fill="FFFFFF"/>
            <w:tcMar>
              <w:top w:w="95" w:type="dxa"/>
              <w:bottom w:w="95" w:type="dxa"/>
              <w:left w:w="110" w:type="dxa"/>
              <w:right w:w="110" w:type="dxa"/>
            </w:tcMar>
          </w:tcPr>
          <w:p>
            <w:pPr>
              <w:spacing w:after="0" w:line="280" w:lineRule="exact"/>
            </w:pPr>
            <w:r>
              <w:rPr>
                <w:b w:val="0"/>
                <w:sz w:val="19"/>
              </w:rPr>
            </w:r>
            <w:r>
              <w:rPr>
                <w:b w:val="0"/>
                <w:sz w:val="19"/>
              </w:rPr>
              <w:t>发现稳定错误就转M4</w:t>
            </w:r>
          </w:p>
        </w:tc>
      </w:tr>
      <w:tr>
        <w:trPr>
          <w:cantSplit/>
        </w:trPr>
        <w:tc>
          <w:tcPr>
            <w:tcW w:type="dxa" w:w="1928"/>
            <w:vAlign w:val="center"/>
            <w:shd w:fill="FFFFFF"/>
            <w:tcMar>
              <w:top w:w="95" w:type="dxa"/>
              <w:bottom w:w="95" w:type="dxa"/>
              <w:left w:w="110" w:type="dxa"/>
              <w:right w:w="110" w:type="dxa"/>
            </w:tcMar>
          </w:tcPr>
          <w:p>
            <w:pPr>
              <w:spacing w:after="0" w:line="280" w:lineRule="exact"/>
            </w:pPr>
            <w:r>
              <w:rPr>
                <w:b w:val="0"/>
                <w:sz w:val="19"/>
              </w:rPr>
            </w:r>
            <w:r>
              <w:rPr>
                <w:b w:val="0"/>
                <w:sz w:val="19"/>
              </w:rPr>
              <w:t>M2 全未命中</w:t>
            </w:r>
          </w:p>
        </w:tc>
        <w:tc>
          <w:tcPr>
            <w:tcW w:type="dxa" w:w="2268"/>
            <w:vAlign w:val="center"/>
            <w:shd w:fill="FFFFFF"/>
            <w:tcMar>
              <w:top w:w="95" w:type="dxa"/>
              <w:bottom w:w="95" w:type="dxa"/>
              <w:left w:w="110" w:type="dxa"/>
              <w:right w:w="110" w:type="dxa"/>
            </w:tcMar>
          </w:tcPr>
          <w:p>
            <w:pPr>
              <w:spacing w:after="0" w:line="280" w:lineRule="exact"/>
            </w:pPr>
            <w:r>
              <w:rPr>
                <w:b w:val="0"/>
                <w:sz w:val="19"/>
              </w:rPr>
            </w:r>
            <w:r>
              <w:rPr>
                <w:b w:val="0"/>
                <w:sz w:val="19"/>
              </w:rPr>
              <w:t>C0池关、D0池开，PP固定</w:t>
            </w:r>
          </w:p>
        </w:tc>
        <w:tc>
          <w:tcPr>
            <w:tcW w:type="dxa" w:w="3005"/>
            <w:vAlign w:val="center"/>
            <w:shd w:fill="FFFFFF"/>
            <w:tcMar>
              <w:top w:w="95" w:type="dxa"/>
              <w:bottom w:w="95" w:type="dxa"/>
              <w:left w:w="110" w:type="dxa"/>
              <w:right w:w="110" w:type="dxa"/>
            </w:tcMar>
          </w:tcPr>
          <w:p>
            <w:pPr>
              <w:spacing w:after="0" w:line="280" w:lineRule="exact"/>
            </w:pPr>
            <w:r>
              <w:rPr>
                <w:b w:val="0"/>
                <w:sz w:val="19"/>
              </w:rPr>
            </w:r>
            <w:r>
              <w:rPr>
                <w:b w:val="0"/>
                <w:sz w:val="19"/>
              </w:rPr>
              <w:t>没有复用收益时，查找和写池花多少代价</w:t>
            </w:r>
          </w:p>
        </w:tc>
        <w:tc>
          <w:tcPr>
            <w:tcW w:type="dxa" w:w="2438"/>
            <w:vAlign w:val="center"/>
            <w:shd w:fill="FFFFFF"/>
            <w:tcMar>
              <w:top w:w="95" w:type="dxa"/>
              <w:bottom w:w="95" w:type="dxa"/>
              <w:left w:w="110" w:type="dxa"/>
              <w:right w:w="110" w:type="dxa"/>
            </w:tcMar>
          </w:tcPr>
          <w:p>
            <w:pPr>
              <w:spacing w:after="0" w:line="280" w:lineRule="exact"/>
            </w:pPr>
            <w:r>
              <w:rPr>
                <w:b w:val="0"/>
                <w:sz w:val="19"/>
              </w:rPr>
            </w:r>
            <w:r>
              <w:rPr>
                <w:b w:val="0"/>
                <w:sz w:val="19"/>
              </w:rPr>
              <w:t>写失败或保存等待明显时选M4</w:t>
            </w:r>
          </w:p>
        </w:tc>
      </w:tr>
      <w:tr>
        <w:trPr>
          <w:cantSplit/>
        </w:trPr>
        <w:tc>
          <w:tcPr>
            <w:tcW w:type="dxa" w:w="1928"/>
            <w:vAlign w:val="center"/>
            <w:shd w:fill="FFFFFF"/>
            <w:tcMar>
              <w:top w:w="95" w:type="dxa"/>
              <w:bottom w:w="95" w:type="dxa"/>
              <w:left w:w="110" w:type="dxa"/>
              <w:right w:w="110" w:type="dxa"/>
            </w:tcMar>
          </w:tcPr>
          <w:p>
            <w:pPr>
              <w:spacing w:after="0" w:line="280" w:lineRule="exact"/>
            </w:pPr>
            <w:r>
              <w:rPr>
                <w:b w:val="0"/>
                <w:sz w:val="19"/>
              </w:rPr>
            </w:r>
            <w:r>
              <w:rPr>
                <w:b w:val="0"/>
                <w:sz w:val="19"/>
              </w:rPr>
              <w:t>M3 稳定远端复用</w:t>
            </w:r>
          </w:p>
        </w:tc>
        <w:tc>
          <w:tcPr>
            <w:tcW w:type="dxa" w:w="2268"/>
            <w:vAlign w:val="center"/>
            <w:shd w:fill="FFFFFF"/>
            <w:tcMar>
              <w:top w:w="95" w:type="dxa"/>
              <w:bottom w:w="95" w:type="dxa"/>
              <w:left w:w="110" w:type="dxa"/>
              <w:right w:w="110" w:type="dxa"/>
            </w:tcMar>
          </w:tcPr>
          <w:p>
            <w:pPr>
              <w:spacing w:after="0" w:line="280" w:lineRule="exact"/>
            </w:pPr>
            <w:r>
              <w:rPr>
                <w:b w:val="0"/>
                <w:sz w:val="19"/>
              </w:rPr>
            </w:r>
            <w:r>
              <w:rPr>
                <w:b w:val="0"/>
                <w:sz w:val="19"/>
              </w:rPr>
              <w:t>Cw池关、Dw池开且预热，PP固定</w:t>
            </w:r>
          </w:p>
        </w:tc>
        <w:tc>
          <w:tcPr>
            <w:tcW w:type="dxa" w:w="3005"/>
            <w:vAlign w:val="center"/>
            <w:shd w:fill="FFFFFF"/>
            <w:tcMar>
              <w:top w:w="95" w:type="dxa"/>
              <w:bottom w:w="95" w:type="dxa"/>
              <w:left w:w="110" w:type="dxa"/>
              <w:right w:w="110" w:type="dxa"/>
            </w:tcMar>
          </w:tcPr>
          <w:p>
            <w:pPr>
              <w:spacing w:after="0" w:line="280" w:lineRule="exact"/>
            </w:pPr>
            <w:r>
              <w:rPr>
                <w:b w:val="0"/>
                <w:sz w:val="19"/>
              </w:rPr>
            </w:r>
            <w:r>
              <w:rPr>
                <w:b w:val="0"/>
                <w:sz w:val="19"/>
              </w:rPr>
              <w:t>省下的计算能否抵消读写与同步开销</w:t>
            </w:r>
          </w:p>
        </w:tc>
        <w:tc>
          <w:tcPr>
            <w:tcW w:type="dxa" w:w="2438"/>
            <w:vAlign w:val="center"/>
            <w:shd w:fill="FFFFFF"/>
            <w:tcMar>
              <w:top w:w="95" w:type="dxa"/>
              <w:bottom w:w="95" w:type="dxa"/>
              <w:left w:w="110" w:type="dxa"/>
              <w:right w:w="110" w:type="dxa"/>
            </w:tcMar>
          </w:tcPr>
          <w:p>
            <w:pPr>
              <w:spacing w:after="0" w:line="280" w:lineRule="exact"/>
            </w:pPr>
            <w:r>
              <w:rPr>
                <w:b w:val="0"/>
                <w:sz w:val="19"/>
              </w:rPr>
            </w:r>
            <w:r>
              <w:rPr>
                <w:b w:val="0"/>
                <w:sz w:val="19"/>
              </w:rPr>
              <w:t>用时间线挑选一个根因分支</w:t>
            </w:r>
          </w:p>
        </w:tc>
      </w:tr>
      <w:tr>
        <w:trPr>
          <w:cantSplit/>
        </w:trPr>
        <w:tc>
          <w:tcPr>
            <w:tcW w:type="dxa" w:w="1928"/>
            <w:vAlign w:val="center"/>
            <w:shd w:fill="FFFFFF"/>
            <w:tcMar>
              <w:top w:w="95" w:type="dxa"/>
              <w:bottom w:w="95" w:type="dxa"/>
              <w:left w:w="110" w:type="dxa"/>
              <w:right w:w="110" w:type="dxa"/>
            </w:tcMar>
          </w:tcPr>
          <w:p>
            <w:pPr>
              <w:spacing w:after="0" w:line="280" w:lineRule="exact"/>
            </w:pPr>
            <w:r>
              <w:rPr>
                <w:b w:val="0"/>
                <w:sz w:val="19"/>
              </w:rPr>
            </w:r>
            <w:r>
              <w:rPr>
                <w:b w:val="0"/>
                <w:sz w:val="19"/>
              </w:rPr>
              <w:t>M4 修正闭环</w:t>
            </w:r>
          </w:p>
        </w:tc>
        <w:tc>
          <w:tcPr>
            <w:tcW w:type="dxa" w:w="2268"/>
            <w:vAlign w:val="center"/>
            <w:shd w:fill="FFFFFF"/>
            <w:tcMar>
              <w:top w:w="95" w:type="dxa"/>
              <w:bottom w:w="95" w:type="dxa"/>
              <w:left w:w="110" w:type="dxa"/>
              <w:right w:w="110" w:type="dxa"/>
            </w:tcMar>
          </w:tcPr>
          <w:p>
            <w:pPr>
              <w:spacing w:after="0" w:line="280" w:lineRule="exact"/>
            </w:pPr>
            <w:r>
              <w:rPr>
                <w:b w:val="0"/>
                <w:sz w:val="19"/>
              </w:rPr>
            </w:r>
            <w:r>
              <w:rPr>
                <w:b w:val="0"/>
                <w:sz w:val="19"/>
              </w:rPr>
              <w:t>O1原版、F单点修正、O2回退</w:t>
            </w:r>
          </w:p>
        </w:tc>
        <w:tc>
          <w:tcPr>
            <w:tcW w:type="dxa" w:w="3005"/>
            <w:vAlign w:val="center"/>
            <w:shd w:fill="FFFFFF"/>
            <w:tcMar>
              <w:top w:w="95" w:type="dxa"/>
              <w:bottom w:w="95" w:type="dxa"/>
              <w:left w:w="110" w:type="dxa"/>
              <w:right w:w="110" w:type="dxa"/>
            </w:tcMar>
          </w:tcPr>
          <w:p>
            <w:pPr>
              <w:spacing w:after="0" w:line="280" w:lineRule="exact"/>
            </w:pPr>
            <w:r>
              <w:rPr>
                <w:b w:val="0"/>
                <w:sz w:val="19"/>
              </w:rPr>
            </w:r>
            <w:r>
              <w:rPr>
                <w:b w:val="0"/>
                <w:sz w:val="19"/>
              </w:rPr>
              <w:t>候选原因是否真的贡献了业务劣化</w:t>
            </w:r>
          </w:p>
        </w:tc>
        <w:tc>
          <w:tcPr>
            <w:tcW w:type="dxa" w:w="2438"/>
            <w:vAlign w:val="center"/>
            <w:shd w:fill="FFFFFF"/>
            <w:tcMar>
              <w:top w:w="95" w:type="dxa"/>
              <w:bottom w:w="95" w:type="dxa"/>
              <w:left w:w="110" w:type="dxa"/>
              <w:right w:w="110" w:type="dxa"/>
            </w:tcMar>
          </w:tcPr>
          <w:p>
            <w:pPr>
              <w:spacing w:after="0" w:line="280" w:lineRule="exact"/>
            </w:pPr>
            <w:r>
              <w:rPr>
                <w:b w:val="0"/>
                <w:sz w:val="19"/>
              </w:rPr>
            </w:r>
            <w:r>
              <w:rPr>
                <w:b w:val="0"/>
                <w:sz w:val="19"/>
              </w:rPr>
              <w:t>达到结案条件就停止扩展</w:t>
            </w:r>
          </w:p>
        </w:tc>
      </w:tr>
      <w:tr>
        <w:trPr>
          <w:cantSplit/>
        </w:trPr>
        <w:tc>
          <w:tcPr>
            <w:tcW w:type="dxa" w:w="1928"/>
            <w:vAlign w:val="center"/>
            <w:shd w:fill="FFFFFF"/>
            <w:tcMar>
              <w:top w:w="95" w:type="dxa"/>
              <w:bottom w:w="95" w:type="dxa"/>
              <w:left w:w="110" w:type="dxa"/>
              <w:right w:w="110" w:type="dxa"/>
            </w:tcMar>
          </w:tcPr>
          <w:p>
            <w:pPr>
              <w:spacing w:after="0" w:line="280" w:lineRule="exact"/>
            </w:pPr>
            <w:r>
              <w:rPr>
                <w:b w:val="0"/>
                <w:sz w:val="19"/>
              </w:rPr>
            </w:r>
            <w:r>
              <w:rPr>
                <w:b w:val="0"/>
                <w:sz w:val="19"/>
              </w:rPr>
              <w:t>X1 布局交互</w:t>
            </w:r>
          </w:p>
        </w:tc>
        <w:tc>
          <w:tcPr>
            <w:tcW w:type="dxa" w:w="2268"/>
            <w:vAlign w:val="center"/>
            <w:shd w:fill="FFFFFF"/>
            <w:tcMar>
              <w:top w:w="95" w:type="dxa"/>
              <w:bottom w:w="95" w:type="dxa"/>
              <w:left w:w="110" w:type="dxa"/>
              <w:right w:w="110" w:type="dxa"/>
            </w:tcMar>
          </w:tcPr>
          <w:p>
            <w:pPr>
              <w:spacing w:after="0" w:line="280" w:lineRule="exact"/>
            </w:pPr>
            <w:r>
              <w:rPr>
                <w:b w:val="0"/>
                <w:sz w:val="19"/>
              </w:rPr>
            </w:r>
            <w:r>
              <w:rPr>
                <w:b w:val="0"/>
                <w:sz w:val="19"/>
              </w:rPr>
              <w:t>复用C/D，再补A/B两组</w:t>
            </w:r>
          </w:p>
        </w:tc>
        <w:tc>
          <w:tcPr>
            <w:tcW w:type="dxa" w:w="3005"/>
            <w:vAlign w:val="center"/>
            <w:shd w:fill="FFFFFF"/>
            <w:tcMar>
              <w:top w:w="95" w:type="dxa"/>
              <w:bottom w:w="95" w:type="dxa"/>
              <w:left w:w="110" w:type="dxa"/>
              <w:right w:w="110" w:type="dxa"/>
            </w:tcMar>
          </w:tcPr>
          <w:p>
            <w:pPr>
              <w:spacing w:after="0" w:line="280" w:lineRule="exact"/>
            </w:pPr>
            <w:r>
              <w:rPr>
                <w:b w:val="0"/>
                <w:sz w:val="19"/>
              </w:rPr>
            </w:r>
            <w:r>
              <w:rPr>
                <w:b w:val="0"/>
                <w:sz w:val="19"/>
              </w:rPr>
              <w:t>是否有可观测的布局交互</w:t>
            </w:r>
          </w:p>
        </w:tc>
        <w:tc>
          <w:tcPr>
            <w:tcW w:type="dxa" w:w="2438"/>
            <w:vAlign w:val="center"/>
            <w:shd w:fill="FFFFFF"/>
            <w:tcMar>
              <w:top w:w="95" w:type="dxa"/>
              <w:bottom w:w="95" w:type="dxa"/>
              <w:left w:w="110" w:type="dxa"/>
              <w:right w:w="110" w:type="dxa"/>
            </w:tcMar>
          </w:tcPr>
          <w:p>
            <w:pPr>
              <w:spacing w:after="0" w:line="280" w:lineRule="exact"/>
            </w:pPr>
            <w:r>
              <w:rPr>
                <w:b w:val="0"/>
                <w:sz w:val="19"/>
              </w:rPr>
            </w:r>
            <w:r>
              <w:rPr>
                <w:b w:val="0"/>
                <w:sz w:val="19"/>
              </w:rPr>
              <w:t>仅要写PP相关交互结论时做</w:t>
            </w:r>
          </w:p>
        </w:tc>
      </w:tr>
      <w:tr>
        <w:trPr>
          <w:cantSplit/>
        </w:trPr>
        <w:tc>
          <w:tcPr>
            <w:tcW w:type="dxa" w:w="1928"/>
            <w:vAlign w:val="center"/>
            <w:shd w:fill="FFFFFF"/>
            <w:tcMar>
              <w:top w:w="95" w:type="dxa"/>
              <w:bottom w:w="95" w:type="dxa"/>
              <w:left w:w="110" w:type="dxa"/>
              <w:right w:w="110" w:type="dxa"/>
            </w:tcMar>
          </w:tcPr>
          <w:p>
            <w:pPr>
              <w:spacing w:after="0" w:line="280" w:lineRule="exact"/>
            </w:pPr>
            <w:r>
              <w:rPr>
                <w:b w:val="0"/>
                <w:sz w:val="19"/>
              </w:rPr>
            </w:r>
            <w:r>
              <w:rPr>
                <w:b w:val="0"/>
                <w:sz w:val="19"/>
              </w:rPr>
              <w:t>X2 压力或路由</w:t>
            </w:r>
          </w:p>
        </w:tc>
        <w:tc>
          <w:tcPr>
            <w:tcW w:type="dxa" w:w="2268"/>
            <w:vAlign w:val="center"/>
            <w:shd w:fill="FFFFFF"/>
            <w:tcMar>
              <w:top w:w="95" w:type="dxa"/>
              <w:bottom w:w="95" w:type="dxa"/>
              <w:left w:w="110" w:type="dxa"/>
              <w:right w:w="110" w:type="dxa"/>
            </w:tcMar>
          </w:tcPr>
          <w:p>
            <w:pPr>
              <w:spacing w:after="0" w:line="280" w:lineRule="exact"/>
            </w:pPr>
            <w:r>
              <w:rPr>
                <w:b w:val="0"/>
                <w:sz w:val="19"/>
              </w:rPr>
            </w:r>
            <w:r>
              <w:rPr>
                <w:b w:val="0"/>
                <w:sz w:val="19"/>
              </w:rPr>
              <w:t>在已有组基础上增加一个条件</w:t>
            </w:r>
          </w:p>
        </w:tc>
        <w:tc>
          <w:tcPr>
            <w:tcW w:type="dxa" w:w="3005"/>
            <w:vAlign w:val="center"/>
            <w:shd w:fill="FFFFFF"/>
            <w:tcMar>
              <w:top w:w="95" w:type="dxa"/>
              <w:bottom w:w="95" w:type="dxa"/>
              <w:left w:w="110" w:type="dxa"/>
              <w:right w:w="110" w:type="dxa"/>
            </w:tcMar>
          </w:tcPr>
          <w:p>
            <w:pPr>
              <w:spacing w:after="0" w:line="280" w:lineRule="exact"/>
            </w:pPr>
            <w:r>
              <w:rPr>
                <w:b w:val="0"/>
                <w:sz w:val="19"/>
              </w:rPr>
            </w:r>
            <w:r>
              <w:rPr>
                <w:b w:val="0"/>
                <w:sz w:val="19"/>
              </w:rPr>
              <w:t>是否由排队、竞争或路由不均放大</w:t>
            </w:r>
          </w:p>
        </w:tc>
        <w:tc>
          <w:tcPr>
            <w:tcW w:type="dxa" w:w="2438"/>
            <w:vAlign w:val="center"/>
            <w:shd w:fill="FFFFFF"/>
            <w:tcMar>
              <w:top w:w="95" w:type="dxa"/>
              <w:bottom w:w="95" w:type="dxa"/>
              <w:left w:w="110" w:type="dxa"/>
              <w:right w:w="110" w:type="dxa"/>
            </w:tcMar>
          </w:tcPr>
          <w:p>
            <w:pPr>
              <w:spacing w:after="0" w:line="280" w:lineRule="exact"/>
            </w:pPr>
            <w:r>
              <w:rPr>
                <w:b w:val="0"/>
                <w:sz w:val="19"/>
              </w:rPr>
            </w:r>
            <w:r>
              <w:rPr>
                <w:b w:val="0"/>
                <w:sz w:val="19"/>
              </w:rPr>
              <w:t>只跟随已有信号，不全量扫描</w:t>
            </w:r>
          </w:p>
        </w:tc>
      </w:tr>
    </w:tbl>
    <w:p>
      <w:pPr>
        <w:spacing w:after="40" w:line="40" w:lineRule="exact"/>
      </w:pPr>
      <w:r>
        <w:rPr>
          <w:sz w:val="4"/>
        </w:rPr>
      </w:r>
    </w:p>
    <w:p>
      <w:r>
        <w:rPr>
          <w:b w:val="0"/>
        </w:rPr>
        <w:t>前置健康检查、模型热身和缓存预热不是正式性能样本，但都会消耗时间，必须另外记账。M2/M3共有4种条件，做3对重复就是12轮；如果每轮200个请求，共2400个测量请求，另加预热请求。首次筛查可先每轮50个，共600个，发现明显故障即转定位；这些数字不保证P99或统计显著性。</w:t>
      </w:r>
    </w:p>
    <w:p>
      <w:pPr>
        <w:pStyle w:val="Heading1"/>
        <w:pageBreakBefore/>
      </w:pPr>
      <w:r>
        <w:t>准备一 确认服务地图和可用环境</w:t>
      </w:r>
    </w:p>
    <w:p>
      <w:pPr>
        <w:pStyle w:val="Heading2"/>
      </w:pPr>
      <w:r>
        <w:t>先填这一张表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必填项</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需要取得的实际值</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缺失时怎么处理</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模型</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GLM具体版本、权重目录、量化、API模型名</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不把目录名自动当API模型名</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P1和P2</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每组实际进程、节点、TP/DP/PP、层范围</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不把2P当PP2，不把节点标号当数量</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D</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实际并行配置和KV接收路径</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D侧PP支持取决于connector与版本</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完整PD测试入口</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能完成P→D和返回答案的proxy地址</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不直接把P节点API当完整服务入口</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固定路由入口</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分别强制选P1与P2的完整服务测试地址或已验证路由机制</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没有就由维护者准备，不能虚构请求头</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缓存路径</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本地APC、本地卸载、共享Store、PD传输各自职责</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先澄清“池化”到底控制什么</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版本</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vLLM、Ascend、Mooncake、HIXL、CANN、驱动、客户补丁</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当前公开main不能代表现场</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业务目标</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客诉负载、TTFT或吞吐主指标、SLO、错误率</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不知道时先做诊断，不能声称业务验收</w:t>
            </w:r>
          </w:p>
        </w:tc>
      </w:tr>
    </w:tbl>
    <w:p>
      <w:pPr>
        <w:spacing w:after="40" w:line="40" w:lineRule="exact"/>
      </w:pPr>
      <w:r>
        <w:rPr>
          <w:sz w:val="4"/>
        </w:rPr>
      </w:r>
    </w:p>
    <w:p>
      <w:r>
        <w:rPr>
          <w:b w:val="0"/>
        </w:rPr>
        <w:t>只有单机也可能运行两个小实例完成共享路径练习，前提是模型能装下、连接器可用。它不能自动复现客户GLM-5容量、跨节点链路或2P1D吞吐；需要换小模型、TP或DP时，在报告中明确“教学或机制子实验”。不承诺单机16芯片一定能启动任意GLM与PP组合。</w:t>
      </w:r>
    </w:p>
    <w:p>
      <w:pPr>
        <w:pStyle w:val="Heading2"/>
      </w:pPr>
      <w:r>
        <w:t>只读采集环境</w:t>
      </w:r>
    </w:p>
    <w:p>
      <w:r>
        <w:rPr>
          <w:b w:val="0"/>
        </w:rPr>
        <w:t>下面在Linux测试容器的终端执行。RUN_DIR是本轮证据目录，建议每轮换一个新名字。重复定义变量只影响当前终端；没有在这里启动或停止服务。</w:t>
      </w:r>
    </w:p>
    <w:p>
      <w:pPr>
        <w:keepNext/>
        <w:spacing w:line="260" w:lineRule="exact" w:after="0"/>
      </w:pPr>
      <w:r>
        <w:rPr>
          <w:rFonts w:ascii="Consolas" w:hAnsi="Consolas" w:eastAsia="Microsoft YaHei"/>
          <w:sz w:val="18"/>
        </w:rPr>
        <w:t>RUN_DIR="$PWD/ks-evidence/run01"</w:t>
      </w:r>
    </w:p>
    <w:p>
      <w:pPr>
        <w:keepNext/>
        <w:spacing w:line="260" w:lineRule="exact" w:after="0"/>
      </w:pPr>
      <w:r>
        <w:rPr>
          <w:rFonts w:ascii="Consolas" w:hAnsi="Consolas" w:eastAsia="Microsoft YaHei"/>
          <w:sz w:val="18"/>
        </w:rPr>
        <w:t>mkdir -p "$RUN_DIR"</w:t>
      </w:r>
    </w:p>
    <w:p>
      <w:pPr>
        <w:keepNext/>
        <w:spacing w:line="260" w:lineRule="exact" w:after="0"/>
      </w:pPr>
      <w:r>
        <w:rPr>
          <w:rFonts w:ascii="Consolas" w:hAnsi="Consolas" w:eastAsia="Microsoft YaHei"/>
          <w:sz w:val="18"/>
        </w:rPr>
        <w:t>python -m pip show vllm vllm-ascend mooncake-transfer-engine \</w:t>
      </w:r>
    </w:p>
    <w:p>
      <w:pPr>
        <w:keepNext/>
        <w:spacing w:line="260" w:lineRule="exact" w:after="0"/>
      </w:pPr>
      <w:r>
        <w:rPr>
          <w:rFonts w:ascii="Consolas" w:hAnsi="Consolas" w:eastAsia="Microsoft YaHei"/>
          <w:sz w:val="18"/>
        </w:rPr>
        <w:t xml:space="preserve">  torch torch-npu &gt; "$RUN_DIR/packages.txt" 2&gt;&amp;1</w:t>
      </w:r>
    </w:p>
    <w:p>
      <w:pPr>
        <w:keepNext/>
        <w:spacing w:line="260" w:lineRule="exact" w:after="0"/>
      </w:pPr>
      <w:r>
        <w:rPr>
          <w:rFonts w:ascii="Consolas" w:hAnsi="Consolas" w:eastAsia="Microsoft YaHei"/>
          <w:sz w:val="18"/>
        </w:rPr>
        <w:t>npu-smi info &gt; "$RUN_DIR/npu-info.txt"</w:t>
      </w:r>
    </w:p>
    <w:p>
      <w:pPr>
        <w:keepNext w:val="0"/>
        <w:spacing w:line="260" w:lineRule="exact" w:after="100"/>
      </w:pPr>
      <w:r>
        <w:rPr>
          <w:rFonts w:ascii="Consolas" w:hAnsi="Consolas" w:eastAsia="Microsoft YaHei"/>
          <w:sz w:val="18"/>
        </w:rPr>
        <w:t>vllm bench serve --help &gt; "$RUN_DIR/bench-help.txt" 2&gt;&amp;1</w:t>
      </w:r>
    </w:p>
    <w:p>
      <w:r>
        <w:rPr>
          <w:b w:val="0"/>
        </w:rPr>
        <w:t>某包名查不到可能只是安装名不同，继续由维护者补记实际组件。另存三侧和proxy启动脚本、完整kv_transfer_config、Mooncake/HIXL配置、镜像名称和ID。对真实源码目录保存git提交与改动列表；wheel安装没有git目录就记录构建来源，不编造提交。</w:t>
      </w:r>
    </w:p>
    <w:p>
      <w:r>
        <w:rPr>
          <w:b w:val="0"/>
        </w:rPr>
        <w:t>输入配置还要与启动日志中的实际生效配置核对。不要为取配置而默认开启开发模式；vLLM 0.18的server_info端点只在开发模式注册，404不代表配置丢失。</w:t>
      </w:r>
      <w:hyperlink r:id="rId9">
        <w:r>
          <w:rPr>
            <w:color w:val="245D80"/>
            <w:rFonts w:ascii="Microsoft YaHei" w:eastAsia="Microsoft YaHei"/>
          </w:rPr>
          <w:t>源码条件</w:t>
        </w:r>
      </w:hyperlink>
    </w:p>
    <w:p>
      <w:pPr>
        <w:pStyle w:val="Heading1"/>
        <w:pageBreakBefore/>
      </w:pPr>
      <w:r>
        <w:t>准备二 构造真正可比的开关</w:t>
      </w:r>
    </w:p>
    <w:p>
      <w:pPr>
        <w:pStyle w:val="Heading2"/>
      </w:pPr>
      <w:r>
        <w:t>只关闭共享池 保留PD传输</w:t>
      </w:r>
    </w:p>
    <w:p>
      <w:r>
        <w:rPr>
          <w:b w:val="0"/>
        </w:rPr>
        <w:t>先复制现场配置为测试版，保留原件。若实际使用MultiConnector，且其中MooncakeConnectorV1负责PD、AscendStoreConnector负责共享池，则池关闭变体只移除Store子对象，保留PD子对象的全部原值、顶层角色、失败策略、并行布局和其他启动参数。</w:t>
      </w:r>
    </w:p>
    <w:p>
      <w:pPr>
        <w:keepNext/>
        <w:spacing w:line="260" w:lineRule="exact" w:after="0"/>
      </w:pPr>
      <w:r>
        <w:rPr>
          <w:rFonts w:ascii="Consolas" w:hAnsi="Consolas" w:eastAsia="Microsoft YaHei"/>
          <w:sz w:val="18"/>
        </w:rPr>
        <w:t>池开：MultiConnector的子项 = [原PD对象, 原Store对象]</w:t>
      </w:r>
    </w:p>
    <w:p>
      <w:pPr>
        <w:keepNext w:val="0"/>
        <w:spacing w:line="260" w:lineRule="exact" w:after="100"/>
      </w:pPr>
      <w:r>
        <w:rPr>
          <w:rFonts w:ascii="Consolas" w:hAnsi="Consolas" w:eastAsia="Microsoft YaHei"/>
          <w:sz w:val="18"/>
        </w:rPr>
        <w:t>池关：MultiConnector的子项 = [原PD对象]</w:t>
      </w:r>
    </w:p>
    <w:p>
      <w:r>
        <w:rPr>
          <w:b w:val="0"/>
        </w:rPr>
        <w:t>这只是结构示意，不能直接作为完整JSON启动。没有通用的enable_pool=false；不能删整个kv-transfer-config。consumer_is_to_put=false只影响相应消费者回写，并非全局关池。“绕过共享池读取、保留写入”的变体也不是完整池关基线。</w:t>
      </w:r>
      <w:hyperlink r:id="rId10">
        <w:r>
          <w:rPr>
            <w:color w:val="245D80"/>
            <w:rFonts w:ascii="Microsoft YaHei" w:eastAsia="Microsoft YaHei"/>
          </w:rPr>
          <w:t>官方组合职责</w:t>
        </w:r>
      </w:hyperlink>
    </w:p>
    <w:p>
      <w:r>
        <w:rPr>
          <w:b w:val="0"/>
        </w:rPr>
        <w:t>P1、P2、D都要按原有角色检查有无Store路径，不能漏关D回写。修改后的测试配置由维护者按原启动流程部署；用配置diff证明只改了预定项，再用一条独立请求确认PD交接仍正常、回答成功。若是自研或绑定式connector，先取得等价的独立开关；没有这个条件就不能声称单变量。</w:t>
      </w:r>
    </w:p>
    <w:p>
      <w:pPr>
        <w:pStyle w:val="Heading2"/>
      </w:pPr>
      <w:r>
        <w:t>隔离APC带来的假命中</w:t>
      </w:r>
    </w:p>
    <w:p>
      <w:r>
        <w:rPr>
          <w:b w:val="0"/>
        </w:rPr>
        <w:t>推荐的机制诊断条件是所有组均关闭本地APC，但前提是目标版本支持独立关闭且不破坏外部路径；以实际help、配置和日志为准，不猜参数。它是一组诊断条件，最终还需恢复客户原APC设置，重跑最关键的业务对照。</w:t>
      </w:r>
    </w:p>
    <w:p>
      <w:r>
        <w:rPr>
          <w:b w:val="0"/>
        </w:rPr>
        <w:t>若保留APC，就采用P1预热、未见过相同前缀的P2各读一次。池关参考也会在P2留下本地缓存，因此在后续暖池测量前要重新建立P2干净状态，或使用经过证明的隔离实例和缓存清理机制。不能把参考请求之后的P2直接当成“本地未命中”。每轮都核对本地命中，而非只相信操作顺序。</w:t>
      </w:r>
    </w:p>
    <w:p>
      <w:pPr>
        <w:pStyle w:val="Heading2"/>
      </w:pPr>
      <w:r>
        <w:t>模型热身与缓存预热分开</w:t>
      </w:r>
    </w:p>
    <w:p>
      <w:r>
        <w:rPr>
          <w:b w:val="0"/>
        </w:rPr>
        <w:t>每次服务重启后用与正式前缀不重叠的材料做模型热身，等待初始化和编译影响稳定。然后按用例决定是否预热共享池。预热结束应有PUT完成及必需分片可查的证据，固定sleep几秒不能替代。缓存容量不足导致预热条目被淘汰时，应缩小批次，不能把实际低命中当成已实现的高命中组。</w:t>
      </w:r>
    </w:p>
    <w:p>
      <w:pPr>
        <w:pStyle w:val="Heading1"/>
        <w:pageBreakBefore/>
      </w:pPr>
      <w:r>
        <w:t>准备三 固定输入清单</w:t>
      </w:r>
    </w:p>
    <w:p>
      <w:pPr>
        <w:pStyle w:val="Heading2"/>
      </w:pPr>
      <w:r>
        <w:t>优先使用客户请求 再用教学负载</w:t>
      </w:r>
    </w:p>
    <w:p>
      <w:r>
        <w:rPr>
          <w:b w:val="0"/>
        </w:rPr>
        <w:t>从bench.sh或客户负载中先选一个有代表性的输入输出长度桶及一个客诉负载点，保留完整请求和顺序。可举例输入4096、公共前缀3072、输出上限128 token，但这些不是客户默认值，必须通过真实tokenizer和聊天模板核对。</w:t>
      </w:r>
    </w:p>
    <w:p>
      <w:r>
        <w:rPr>
          <w:b w:val="0"/>
        </w:rPr>
        <w:t>附件make_cases.py只生成教学定位负载，不发送请求、不控制缓存，也不保证恰好4096 token。它无需安装第三方依赖。把附件目录复制进压测容器后运行；OUT是新目录，已存在时脚本拒绝覆盖。</w:t>
      </w:r>
    </w:p>
    <w:p>
      <w:pPr>
        <w:keepNext/>
        <w:spacing w:line="260" w:lineRule="exact" w:after="0"/>
      </w:pPr>
      <w:r>
        <w:rPr>
          <w:rFonts w:ascii="Consolas" w:hAnsi="Consolas" w:eastAsia="Microsoft YaHei"/>
          <w:sz w:val="18"/>
        </w:rPr>
        <w:t>python make_cases.py --out-dir data/m1-r01 \</w:t>
      </w:r>
    </w:p>
    <w:p>
      <w:pPr>
        <w:keepNext/>
        <w:spacing w:line="260" w:lineRule="exact" w:after="0"/>
      </w:pPr>
      <w:r>
        <w:rPr>
          <w:rFonts w:ascii="Consolas" w:hAnsi="Consolas" w:eastAsia="Microsoft YaHei"/>
          <w:sz w:val="18"/>
        </w:rPr>
        <w:t xml:space="preserve">  --run-id m1-r01 --count 3 --paragraph-repeat 96</w:t>
      </w:r>
    </w:p>
    <w:p>
      <w:pPr>
        <w:keepNext/>
        <w:spacing w:line="260" w:lineRule="exact" w:after="0"/>
      </w:pPr>
      <w:r>
        <w:rPr>
          <w:rFonts w:ascii="Consolas" w:hAnsi="Consolas" w:eastAsia="Microsoft YaHei"/>
          <w:sz w:val="18"/>
        </w:rPr>
        <w:t>python make_cases.py --out-dir data/m2-r01 \</w:t>
      </w:r>
    </w:p>
    <w:p>
      <w:pPr>
        <w:keepNext/>
        <w:spacing w:line="260" w:lineRule="exact" w:after="0"/>
      </w:pPr>
      <w:r>
        <w:rPr>
          <w:rFonts w:ascii="Consolas" w:hAnsi="Consolas" w:eastAsia="Microsoft YaHei"/>
          <w:sz w:val="18"/>
        </w:rPr>
        <w:t xml:space="preserve">  --run-id m2-r01 --count 50 --paragraph-repeat 96</w:t>
      </w:r>
    </w:p>
    <w:p>
      <w:pPr>
        <w:keepNext/>
        <w:spacing w:line="260" w:lineRule="exact" w:after="0"/>
      </w:pPr>
      <w:r>
        <w:rPr>
          <w:rFonts w:ascii="Consolas" w:hAnsi="Consolas" w:eastAsia="Microsoft YaHei"/>
          <w:sz w:val="18"/>
        </w:rPr>
        <w:t>python make_cases.py --out-dir data/m3-r01 \</w:t>
      </w:r>
    </w:p>
    <w:p>
      <w:pPr>
        <w:keepNext/>
        <w:spacing w:line="260" w:lineRule="exact" w:after="0"/>
      </w:pPr>
      <w:r>
        <w:rPr>
          <w:rFonts w:ascii="Consolas" w:hAnsi="Consolas" w:eastAsia="Microsoft YaHei"/>
          <w:sz w:val="18"/>
        </w:rPr>
        <w:t xml:space="preserve">  --run-id m3-r01 --count 50 --paragraph-repeat 96</w:t>
      </w:r>
    </w:p>
    <w:p>
      <w:pPr>
        <w:keepNext/>
        <w:spacing w:line="260" w:lineRule="exact" w:after="0"/>
      </w:pPr>
      <w:r>
        <w:rPr>
          <w:rFonts w:ascii="Consolas" w:hAnsi="Consolas" w:eastAsia="Microsoft YaHei"/>
          <w:sz w:val="18"/>
        </w:rPr>
        <w:t># 正式扩为200条时重新生成，避免筛查污染缓存。</w:t>
      </w:r>
    </w:p>
    <w:p>
      <w:pPr>
        <w:keepNext/>
        <w:spacing w:line="260" w:lineRule="exact" w:after="0"/>
      </w:pPr>
      <w:r>
        <w:rPr>
          <w:rFonts w:ascii="Consolas" w:hAnsi="Consolas" w:eastAsia="Microsoft YaHei"/>
          <w:sz w:val="18"/>
        </w:rPr>
        <w:t>python make_cases.py --out-dir data/m2-formal-r01 \</w:t>
      </w:r>
    </w:p>
    <w:p>
      <w:pPr>
        <w:keepNext/>
        <w:spacing w:line="260" w:lineRule="exact" w:after="0"/>
      </w:pPr>
      <w:r>
        <w:rPr>
          <w:rFonts w:ascii="Consolas" w:hAnsi="Consolas" w:eastAsia="Microsoft YaHei"/>
          <w:sz w:val="18"/>
        </w:rPr>
        <w:t xml:space="preserve">  --run-id m2-formal-r01 --count 200 --paragraph-repeat 96</w:t>
      </w:r>
    </w:p>
    <w:p>
      <w:pPr>
        <w:keepNext/>
        <w:spacing w:line="260" w:lineRule="exact" w:after="0"/>
      </w:pPr>
      <w:r>
        <w:rPr>
          <w:rFonts w:ascii="Consolas" w:hAnsi="Consolas" w:eastAsia="Microsoft YaHei"/>
          <w:sz w:val="18"/>
        </w:rPr>
        <w:t>python make_cases.py --out-dir data/m3-formal-r01 \</w:t>
      </w:r>
    </w:p>
    <w:p>
      <w:pPr>
        <w:keepNext w:val="0"/>
        <w:spacing w:line="260" w:lineRule="exact" w:after="100"/>
      </w:pPr>
      <w:r>
        <w:rPr>
          <w:rFonts w:ascii="Consolas" w:hAnsi="Consolas" w:eastAsia="Microsoft YaHei"/>
          <w:sz w:val="18"/>
        </w:rPr>
        <w:t xml:space="preserve">  --run-id m3-formal-r01 --count 200 --paragraph-repeat 96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文件</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用途</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限制</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cold.jsonl</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M2独有前缀，池开组也不应有效复用</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仍需看日志，公共模板可能产生少量公共命中</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warm_seed.jsonl</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发到固定P1路径，形成共享缓存</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预热流量不计入正式性能样本</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warm_measure.jsonl</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相同前缀、新后缀，发到固定P2路径</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每条仅测一次，避免P2本地命中</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correctness.jsonl</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M1抽取资料编号，最多3条</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与池关参考比较，使用正常EOS</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negative.jsonl</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M1未预热的新前缀</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应无测试资料的外部有效命中</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model_warmup.jsonl</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独立前缀的模型热身样例</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5条不保证所有形状已热身，应观察稳定性</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manifest.json与expected_answers.json</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前缀ID、目标输出上限、预期编号</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不是测量数据；不能作为成功证据</w:t>
            </w:r>
          </w:p>
        </w:tc>
      </w:tr>
    </w:tbl>
    <w:p>
      <w:pPr>
        <w:spacing w:after="40" w:line="40" w:lineRule="exact"/>
      </w:pPr>
      <w:r>
        <w:rPr>
          <w:sz w:val="4"/>
        </w:rPr>
      </w:r>
    </w:p>
    <w:p>
      <w:r>
        <w:rPr>
          <w:b w:val="0"/>
        </w:rPr>
        <w:t>每一对开/关使用同一个测量文件；下一独立重复用r02、r03。N应与实际文件条数一致，50条文件不能配N=200期待自动补齐。M2与M3必须使用不同run-id，否则M2写入的缓存可能污染M3状态。正式测试前记录输入实际token分布和可复用上限，过长超出模型限制时调小paragraph-repeat并重新生成两组共有数据。</w:t>
      </w:r>
    </w:p>
    <w:p>
      <w:r>
        <w:rPr>
          <w:b w:val="0"/>
        </w:rPr>
        <w:t>JSONL是一行一个JSON对象，不是一个大数组。官方v0.18 custom格式接受prompt字符串及output_tokens；多轮messages不能直接塞进这个字段。</w:t>
      </w:r>
      <w:hyperlink r:id="rId11">
        <w:r>
          <w:rPr>
            <w:color w:val="245D80"/>
            <w:rFonts w:ascii="Microsoft YaHei" w:eastAsia="Microsoft YaHei"/>
          </w:rPr>
          <w:t>格式源码</w:t>
        </w:r>
      </w:hyperlink>
    </w:p>
    <w:p>
      <w:pPr>
        <w:pStyle w:val="Heading1"/>
        <w:pageBreakBefore/>
      </w:pPr>
      <w:r>
        <w:t>准备四 校准客户端和计时</w:t>
      </w:r>
    </w:p>
    <w:p>
      <w:pPr>
        <w:pStyle w:val="Heading2"/>
      </w:pPr>
      <w:r>
        <w:t>地址和模型名先确认</w:t>
      </w:r>
    </w:p>
    <w:p>
      <w:r>
        <w:rPr>
          <w:b w:val="0"/>
        </w:rPr>
        <w:t>BASE必须是能完成PD全过程的测试入口。127.0.0.1只表示“执行当前命令的这台机器”；若服务不在本机，应填实际测试地址。API模型名从v1/models读取，TOKENIZER填压测环境可访问的同一模型目录。</w:t>
      </w:r>
    </w:p>
    <w:p>
      <w:pPr>
        <w:keepNext/>
        <w:spacing w:line="260" w:lineRule="exact" w:after="0"/>
      </w:pPr>
      <w:r>
        <w:rPr>
          <w:rFonts w:ascii="Consolas" w:hAnsi="Consolas" w:eastAsia="Microsoft YaHei"/>
          <w:sz w:val="18"/>
        </w:rPr>
        <w:t>BASE='http://实际测试入口地址:端口'</w:t>
      </w:r>
    </w:p>
    <w:p>
      <w:pPr>
        <w:keepNext/>
        <w:spacing w:line="260" w:lineRule="exact" w:after="0"/>
      </w:pPr>
      <w:r>
        <w:rPr>
          <w:rFonts w:ascii="Consolas" w:hAnsi="Consolas" w:eastAsia="Microsoft YaHei"/>
          <w:sz w:val="18"/>
        </w:rPr>
        <w:t>MODEL='从v1/models读取的模型ID'</w:t>
      </w:r>
    </w:p>
    <w:p>
      <w:pPr>
        <w:keepNext/>
        <w:spacing w:line="260" w:lineRule="exact" w:after="0"/>
      </w:pPr>
      <w:r>
        <w:rPr>
          <w:rFonts w:ascii="Consolas" w:hAnsi="Consolas" w:eastAsia="Microsoft YaHei"/>
          <w:sz w:val="18"/>
        </w:rPr>
        <w:t>TOKENIZER='/实际模型目录'</w:t>
      </w:r>
    </w:p>
    <w:p>
      <w:pPr>
        <w:keepNext/>
        <w:spacing w:line="260" w:lineRule="exact" w:after="0"/>
      </w:pPr>
      <w:r>
        <w:rPr>
          <w:rFonts w:ascii="Consolas" w:hAnsi="Consolas" w:eastAsia="Microsoft YaHei"/>
          <w:sz w:val="18"/>
        </w:rPr>
        <w:t>curl --fail --silent --show-error "$BASE/health"</w:t>
      </w:r>
    </w:p>
    <w:p>
      <w:pPr>
        <w:keepNext/>
        <w:spacing w:line="260" w:lineRule="exact" w:after="0"/>
      </w:pPr>
      <w:r>
        <w:rPr>
          <w:rFonts w:ascii="Consolas" w:hAnsi="Consolas" w:eastAsia="Microsoft YaHei"/>
          <w:sz w:val="18"/>
        </w:rPr>
        <w:t>curl --fail --silent --show-error "$BASE/v1/models"</w:t>
      </w:r>
    </w:p>
    <w:p>
      <w:pPr>
        <w:keepNext w:val="0"/>
        <w:spacing w:line="260" w:lineRule="exact" w:after="100"/>
      </w:pPr>
      <w:r>
        <w:rPr>
          <w:rFonts w:ascii="Consolas" w:hAnsi="Consolas" w:eastAsia="Microsoft YaHei"/>
          <w:sz w:val="18"/>
        </w:rPr>
        <w:t>python -c 'import pandas'</w:t>
      </w:r>
    </w:p>
    <w:p>
      <w:r>
        <w:rPr>
          <w:b w:val="0"/>
        </w:rPr>
        <w:t>网关未转发health或metrics时可能404，直接在相应实例地址检查，不据此认定模型不能推理。先发一个不属于正式前缀的流式小请求，核对P/D日志和首输出事件。若鉴权由既有环境变量提供，沿用测试环境做法，不把密钥写入文档或结果表。</w:t>
      </w:r>
    </w:p>
    <w:p>
      <w:pPr>
        <w:pStyle w:val="Heading2"/>
      </w:pPr>
      <w:r>
        <w:t>使用附件原始文本的固定清单命令</w:t>
      </w:r>
    </w:p>
    <w:p>
      <w:r>
        <w:rPr>
          <w:b w:val="0"/>
        </w:rPr>
        <w:t>下列命令在官方vLLM 0.18源码中核对过参数；它与本次Ascend主线不构成已验证的安装组合。现场先检查保存的help；缺参数时用原bench.sh的等价方式，不能为了抄命令而直接升级服务。</w:t>
      </w:r>
    </w:p>
    <w:p>
      <w:pPr>
        <w:keepNext/>
        <w:spacing w:line="260" w:lineRule="exact" w:after="0"/>
      </w:pPr>
      <w:r>
        <w:rPr>
          <w:rFonts w:ascii="Consolas" w:hAnsi="Consolas" w:eastAsia="Microsoft YaHei"/>
          <w:sz w:val="18"/>
        </w:rPr>
        <w:t>CASE_FILE='data/m2-r01/cold.jsonl'</w:t>
      </w:r>
    </w:p>
    <w:p>
      <w:pPr>
        <w:keepNext/>
        <w:spacing w:line="260" w:lineRule="exact" w:after="0"/>
      </w:pPr>
      <w:r>
        <w:rPr>
          <w:rFonts w:ascii="Consolas" w:hAnsi="Consolas" w:eastAsia="Microsoft YaHei"/>
          <w:sz w:val="18"/>
        </w:rPr>
        <w:t>CASE_ID='m2-c0-r01'</w:t>
      </w:r>
    </w:p>
    <w:p>
      <w:pPr>
        <w:keepNext/>
        <w:spacing w:line="260" w:lineRule="exact" w:after="0"/>
      </w:pPr>
      <w:r>
        <w:rPr>
          <w:rFonts w:ascii="Consolas" w:hAnsi="Consolas" w:eastAsia="Microsoft YaHei"/>
          <w:sz w:val="18"/>
        </w:rPr>
        <w:t>N=50</w:t>
      </w:r>
    </w:p>
    <w:p>
      <w:pPr>
        <w:keepNext/>
        <w:spacing w:line="260" w:lineRule="exact" w:after="0"/>
      </w:pPr>
      <w:r>
        <w:rPr>
          <w:rFonts w:ascii="Consolas" w:hAnsi="Consolas" w:eastAsia="Microsoft YaHei"/>
          <w:sz w:val="18"/>
        </w:rPr>
        <w:t>C=1</w:t>
      </w:r>
    </w:p>
    <w:p>
      <w:pPr>
        <w:keepNext/>
        <w:spacing w:line="260" w:lineRule="exact" w:after="0"/>
      </w:pPr>
      <w:r>
        <w:rPr>
          <w:rFonts w:ascii="Consolas" w:hAnsi="Consolas" w:eastAsia="Microsoft YaHei"/>
          <w:sz w:val="18"/>
        </w:rPr>
        <w:t>mkdir -p "$RUN_DIR/$CASE_ID"</w:t>
      </w:r>
    </w:p>
    <w:p>
      <w:pPr>
        <w:keepNext/>
        <w:spacing w:line="260" w:lineRule="exact" w:after="0"/>
      </w:pPr>
      <w:r>
        <w:rPr>
          <w:rFonts w:ascii="Consolas" w:hAnsi="Consolas" w:eastAsia="Microsoft YaHei"/>
          <w:sz w:val="18"/>
        </w:rPr>
        <w:t>vllm bench serve \</w:t>
      </w:r>
    </w:p>
    <w:p>
      <w:pPr>
        <w:keepNext/>
        <w:spacing w:line="260" w:lineRule="exact" w:after="0"/>
      </w:pPr>
      <w:r>
        <w:rPr>
          <w:rFonts w:ascii="Consolas" w:hAnsi="Consolas" w:eastAsia="Microsoft YaHei"/>
          <w:sz w:val="18"/>
        </w:rPr>
        <w:t xml:space="preserve">  --backend openai-chat --base-url "$BASE" \</w:t>
      </w:r>
    </w:p>
    <w:p>
      <w:pPr>
        <w:keepNext/>
        <w:spacing w:line="260" w:lineRule="exact" w:after="0"/>
      </w:pPr>
      <w:r>
        <w:rPr>
          <w:rFonts w:ascii="Consolas" w:hAnsi="Consolas" w:eastAsia="Microsoft YaHei"/>
          <w:sz w:val="18"/>
        </w:rPr>
        <w:t xml:space="preserve">  --endpoint /v1/chat/completions \</w:t>
      </w:r>
    </w:p>
    <w:p>
      <w:pPr>
        <w:keepNext/>
        <w:spacing w:line="260" w:lineRule="exact" w:after="0"/>
      </w:pPr>
      <w:r>
        <w:rPr>
          <w:rFonts w:ascii="Consolas" w:hAnsi="Consolas" w:eastAsia="Microsoft YaHei"/>
          <w:sz w:val="18"/>
        </w:rPr>
        <w:t xml:space="preserve">  --model "$MODEL" --tokenizer "$TOKENIZER" \</w:t>
      </w:r>
    </w:p>
    <w:p>
      <w:pPr>
        <w:keepNext/>
        <w:spacing w:line="260" w:lineRule="exact" w:after="0"/>
      </w:pPr>
      <w:r>
        <w:rPr>
          <w:rFonts w:ascii="Consolas" w:hAnsi="Consolas" w:eastAsia="Microsoft YaHei"/>
          <w:sz w:val="18"/>
        </w:rPr>
        <w:t xml:space="preserve">  --dataset-name custom --dataset-path "$CASE_FILE" \</w:t>
      </w:r>
    </w:p>
    <w:p>
      <w:pPr>
        <w:keepNext/>
        <w:spacing w:line="260" w:lineRule="exact" w:after="0"/>
      </w:pPr>
      <w:r>
        <w:rPr>
          <w:rFonts w:ascii="Consolas" w:hAnsi="Consolas" w:eastAsia="Microsoft YaHei"/>
          <w:sz w:val="18"/>
        </w:rPr>
        <w:t xml:space="preserve">  --custom-output-len -1 --skip-chat-template \</w:t>
      </w:r>
    </w:p>
    <w:p>
      <w:pPr>
        <w:keepNext/>
        <w:spacing w:line="260" w:lineRule="exact" w:after="0"/>
      </w:pPr>
      <w:r>
        <w:rPr>
          <w:rFonts w:ascii="Consolas" w:hAnsi="Consolas" w:eastAsia="Microsoft YaHei"/>
          <w:sz w:val="18"/>
        </w:rPr>
        <w:t xml:space="preserve">  --disable-shuffle --no-oversample --num-prompts "$N" \</w:t>
      </w:r>
    </w:p>
    <w:p>
      <w:pPr>
        <w:keepNext/>
        <w:spacing w:line="260" w:lineRule="exact" w:after="0"/>
      </w:pPr>
      <w:r>
        <w:rPr>
          <w:rFonts w:ascii="Consolas" w:hAnsi="Consolas" w:eastAsia="Microsoft YaHei"/>
          <w:sz w:val="18"/>
        </w:rPr>
        <w:t xml:space="preserve">  --request-rate inf --max-concurrency "$C" \</w:t>
      </w:r>
    </w:p>
    <w:p>
      <w:pPr>
        <w:keepNext/>
        <w:spacing w:line="260" w:lineRule="exact" w:after="0"/>
      </w:pPr>
      <w:r>
        <w:rPr>
          <w:rFonts w:ascii="Consolas" w:hAnsi="Consolas" w:eastAsia="Microsoft YaHei"/>
          <w:sz w:val="18"/>
        </w:rPr>
        <w:t xml:space="preserve">  --temperature 0 --ignore-eos \</w:t>
      </w:r>
    </w:p>
    <w:p>
      <w:pPr>
        <w:keepNext/>
        <w:spacing w:line="260" w:lineRule="exact" w:after="0"/>
      </w:pPr>
      <w:r>
        <w:rPr>
          <w:rFonts w:ascii="Consolas" w:hAnsi="Consolas" w:eastAsia="Microsoft YaHei"/>
          <w:sz w:val="18"/>
        </w:rPr>
        <w:t xml:space="preserve">  --ready-check-timeout-sec 0 --num-warmups 0 \</w:t>
      </w:r>
    </w:p>
    <w:p>
      <w:pPr>
        <w:keepNext/>
        <w:spacing w:line="260" w:lineRule="exact" w:after="0"/>
      </w:pPr>
      <w:r>
        <w:rPr>
          <w:rFonts w:ascii="Consolas" w:hAnsi="Consolas" w:eastAsia="Microsoft YaHei"/>
          <w:sz w:val="18"/>
        </w:rPr>
        <w:t xml:space="preserve">  --percentile-metrics ttft,tpot,e2el --metric-percentiles 50,90,99 \</w:t>
      </w:r>
    </w:p>
    <w:p>
      <w:pPr>
        <w:keepNext/>
        <w:spacing w:line="260" w:lineRule="exact" w:after="0"/>
      </w:pPr>
      <w:r>
        <w:rPr>
          <w:rFonts w:ascii="Consolas" w:hAnsi="Consolas" w:eastAsia="Microsoft YaHei"/>
          <w:sz w:val="18"/>
        </w:rPr>
        <w:t xml:space="preserve">  --request-id-prefix "$CASE_ID-" \</w:t>
      </w:r>
    </w:p>
    <w:p>
      <w:pPr>
        <w:keepNext w:val="0"/>
        <w:spacing w:line="260" w:lineRule="exact" w:after="100"/>
      </w:pPr>
      <w:r>
        <w:rPr>
          <w:rFonts w:ascii="Consolas" w:hAnsi="Consolas" w:eastAsia="Microsoft YaHei"/>
          <w:sz w:val="18"/>
        </w:rPr>
        <w:t xml:space="preserve">  --save-result --save-detailed --result-dir "$RUN_DIR/$CASE_ID"</w:t>
      </w:r>
    </w:p>
    <w:p>
      <w:r>
        <w:rPr>
          <w:b w:val="0"/>
        </w:rPr>
        <w:t>这个模式将每行prompt作为一个user消息，由服务器套一次聊天模板。不要先套好模板再发给chat接口。若需原样多轮回放，应使用客户原工具。若proxy只支持completions，则应先按实际模板渲染prompt，再改为backend openai和endpoint /v1/completions；这属于另一个固定输入协议，不能在同一对照中混用。</w:t>
      </w:r>
    </w:p>
    <w:p>
      <w:r>
        <w:rPr>
          <w:b w:val="0"/>
        </w:rPr>
        <w:t>C=1只用于链路初测；正式轮改为客户代表并发C星并保持开关组相同。inf加并发上限是闭环负载，不等于固定QPS；如果客户问题来自固定到达率，使用原发包计划，记录客户端等待，避免并发上限把过载排队掩盖。M1正确性请求去掉ignore-eos，让模型自然结束。</w:t>
      </w:r>
    </w:p>
    <w:p>
      <w:pPr>
        <w:pStyle w:val="Heading1"/>
        <w:pageBreakBefore/>
      </w:pPr>
      <w:r>
        <w:t>准备五 避免把工具读数当成真实收益</w:t>
      </w:r>
    </w:p>
    <w:p>
      <w:pPr>
        <w:pStyle w:val="Heading2"/>
      </w:pPr>
      <w:r>
        <w:t>首包不一定是首token</w:t>
      </w:r>
    </w:p>
    <w:p>
      <w:r>
        <w:rPr>
          <w:b w:val="0"/>
        </w:rPr>
        <w:t>官方v0.18客户端用第一个带choices的SSE消息计TTFT，没有要求text或content非空。因此空角色包可能使bench TTFT比首有效token更早；chat实现还可能遗漏reasoning内容。先用3条小请求核对原始流：首choices是否含真实生成内容，推理字段是否算在目标SLO中。</w:t>
      </w:r>
      <w:hyperlink r:id="rId12">
        <w:r>
          <w:rPr>
            <w:color w:val="245D80"/>
            <w:rFonts w:ascii="Microsoft YaHei" w:eastAsia="Microsoft YaHei"/>
          </w:rPr>
          <w:t>计时源码</w:t>
        </w:r>
      </w:hyperlink>
    </w:p>
    <w:p>
      <w:r>
        <w:rPr>
          <w:b w:val="0"/>
        </w:rPr>
        <w:t>未校准时把列名写成“bench TTFT”，不要称为首可见字时间，也不要拿它作客户首字SLO验收。若不匹配，让工程师在相同客户端版本中修正事件边界，所有组保持一致。服务端首token计时可另列用于内部定位，但不包含全部proxy与网络时间，不能替代客户端首字SLO。curl的time_starttransfer可能只是响应头，不能代替模型TTFT。</w:t>
      </w:r>
    </w:p>
    <w:p>
      <w:pPr>
        <w:pStyle w:val="Heading2"/>
      </w:pPr>
      <w:r>
        <w:t>token数量以实际输出为准</w:t>
      </w:r>
    </w:p>
    <w:p>
      <w:r>
        <w:rPr>
          <w:b w:val="0"/>
        </w:rPr>
        <w:t>output_tokens是目标上限；ignore-eos用于固定长度性能测试，仍要检查实际输出数量。M1正确性与最后业务验收使用客户真实生成规则，不用“强制128 token”冒充业务输出。实际输出优先取服务端usage.completion_tokens；数SSE包不等于数token，MTP可能一包多个token。若流末usage缺失，官方bench会重新分词拼接文本，可能漏掉reasoning或特殊token；不能只信结果JSON的output_lens，固定长度验收还需确认计数来源。</w:t>
      </w:r>
    </w:p>
    <w:p>
      <w:r>
        <w:rPr>
          <w:b w:val="0"/>
        </w:rPr>
        <w:t>chat模式下，custom预先计算的长度可能只含user正文、不含服务器模板；用服务端usage或相同模板的tokenizer复核输入长度。不要使用skip-tokenizer-init，这条custom实现可能把长度设为1，破坏统计。</w:t>
      </w:r>
    </w:p>
    <w:p>
      <w:pPr>
        <w:pStyle w:val="Heading2"/>
      </w:pPr>
      <w:r>
        <w:t>预检查不能污染正式前缀</w:t>
      </w:r>
    </w:p>
    <w:p>
      <w:r>
        <w:rPr>
          <w:b w:val="0"/>
        </w:rPr>
        <w:t>已明确将ready-check-timeout-sec和num-warmups设为0。v0.18 CLI的ready check默认就是0，但旧脚本或其他调用可能不同；启用时会拿测试首条作预热。独立热身在正式轮之前完成，使用不重叠材料。记录并发、实际发出请求数、失败和实际输出量，不能删掉失败样本后宣布性能更好。</w:t>
      </w:r>
    </w:p>
    <w:p>
      <w:pPr>
        <w:pStyle w:val="Heading2"/>
      </w:pPr>
      <w:r>
        <w:t>每轮必须存下什么</w:t>
      </w:r>
    </w:p>
    <w:p>
      <w:r>
        <w:rPr>
          <w:b w:val="0"/>
        </w:rPr>
        <w:t>将配置副本和diff、版本、输入JSONL、路由证明、预热完成证明、before/after指标、完整客户端结果、代表请求日志放入同一CASE_ID目录。正式性能轮日志级别一致；高频DEBUG或重型profile只用于另外的少量定位请求，不能一组开一组关。</w:t>
      </w:r>
    </w:p>
    <w:p>
      <w:pPr>
        <w:pStyle w:val="Heading1"/>
        <w:pageBreakBefore/>
      </w:pPr>
      <w:r>
        <w:t>M1 用少量请求证明跨P复用</w:t>
      </w:r>
    </w:p>
    <w:p>
      <w:r>
        <w:rPr>
          <w:b/>
        </w:rPr>
        <w:t>目的：</w:t>
      </w:r>
      <w:r>
        <w:rPr>
          <w:b w:val="0"/>
        </w:rPr>
        <w:t>先证明数据从P1走到了P2，并且真的少算且输出正常。本例用3个前缀，不计算性能提升百分比。</w:t>
      </w:r>
    </w:p>
    <w:p>
      <w:r>
        <w:rPr>
          <w:b/>
        </w:rPr>
        <w:t>前提：</w:t>
      </w:r>
      <w:r>
        <w:rPr>
          <w:b w:val="0"/>
        </w:rPr>
        <w:t>两条完整PD入口能够分别固定选P1和P2，并由日志证明路由；池开配置已生效；APC已全组关闭，或P2被证明没有这些本地条目。D侧和必要PD链路保持不变。</w:t>
      </w:r>
    </w:p>
    <w:p>
      <w:pPr>
        <w:ind w:left="255" w:hanging="255"/>
      </w:pPr>
      <w:r>
        <w:rPr>
          <w:b w:val="0"/>
        </w:rPr>
        <w:t>1. 做池关参考。BASE设为固定P2的完整PD入口，CASE_FILE用correctness.jsonl，N=3、C=1、删除ignore-eos。运行两次，保存输出，确认参考本身是否稳定。预期编号在expected_answers.json中；若模型自己就不能按题作答，先调整题目再继续。</w:t>
      </w:r>
    </w:p>
    <w:p>
      <w:pPr>
        <w:ind w:left="255" w:hanging="255"/>
      </w:pPr>
      <w:r>
        <w:rPr>
          <w:b w:val="0"/>
        </w:rPr>
        <w:t>2. 建立干净状态并开池。若参考请求留下了APC，必须按已验证方式重建干净P2；不能只切Store开关后就假定本地未命中。模型热身使用独立材料。</w:t>
      </w:r>
    </w:p>
    <w:p>
      <w:pPr>
        <w:ind w:left="255" w:hanging="255"/>
      </w:pPr>
      <w:r>
        <w:rPr>
          <w:b w:val="0"/>
        </w:rPr>
        <w:t>3. 在固定P1的完整PD入口发送warm_seed.jsonl，N=3。记录实际发布者：可以是P1写池，也可能是D接收P1的KV后回写。保存各必需阶段的PUT成功与可查证据，证明KV来源于P1这批请求；等真正发布后才继续，不以接口返回或固定等待秒数代替。</w:t>
      </w:r>
    </w:p>
    <w:p>
      <w:pPr>
        <w:ind w:left="255" w:hanging="255"/>
      </w:pPr>
      <w:r>
        <w:rPr>
          <w:b w:val="0"/>
        </w:rPr>
        <w:t>4. 在固定P2入口发送相同correctness.jsonl，N=3、C=1、不强制忽略EOS。每个前缀只发一次，关联P2外部候选命中、GET成功、必要分片齐全、可用KV写回和prefill实算量。</w:t>
      </w:r>
    </w:p>
    <w:p>
      <w:pPr>
        <w:ind w:left="255" w:hanging="255"/>
      </w:pPr>
      <w:r>
        <w:rPr>
          <w:b w:val="0"/>
        </w:rPr>
        <w:t>5. 在P2发送negative.jsonl，N=3。它没有在P1预热，应没有测试资料的外部有效复用。相同公共模板若有少量命中，单列模板token，不把它算作资料复用。</w:t>
      </w:r>
    </w:p>
    <w:p>
      <w:pPr>
        <w:ind w:left="255" w:hanging="255"/>
      </w:pPr>
      <w:r>
        <w:rPr>
          <w:b w:val="0"/>
        </w:rPr>
        <w:t>6. 比较输出。先看资料编号是否正确，再比较稳定参考的token或文本；参考本身不确定时，输出不同不能自动判缓存损坏，需要重跑参考并检查更直接的缓存正确性证据。</w:t>
      </w:r>
    </w:p>
    <w:p>
      <w:r>
        <w:rPr>
          <w:b/>
        </w:rPr>
        <w:t>通过标准：</w:t>
      </w:r>
      <w:r>
        <w:rPr>
          <w:b w:val="0"/>
        </w:rPr>
        <w:t>小样本全部成功；新增传输错误、超时和加载失败回退为0；暖请求外部有效复用大于0且与可复用边界相符；负对照无资料复用；必需阶段完整、实际计算减少、编号正确。任何一项不可观测就写“该环节未证实”。</w:t>
      </w:r>
    </w:p>
    <w:p>
      <w:r>
        <w:rPr>
          <w:b w:val="0"/>
        </w:rPr>
        <w:t>预算示例：3条参考两遍、3条预热、3条复用、3条负对照，共15个请求，另计模型热身。若发现稳定PUT失败或输出问题，立即转对应M4；不要为了完成表格继续发几千条请求。</w:t>
      </w:r>
    </w:p>
    <w:p>
      <w:r>
        <w:rPr>
          <w:b/>
        </w:rPr>
        <w:t>必须避免：</w:t>
      </w:r>
      <w:r>
        <w:rPr>
          <w:b w:val="0"/>
        </w:rPr>
        <w:t>D侧external计数可能包含PD交接；不能把D接到P的KV算成跨请求共享收益。M1重点关联P2的Store来源和减少计算，不重复累计各PP阶段的同一token。</w:t>
      </w:r>
    </w:p>
    <w:p>
      <w:pPr>
        <w:pStyle w:val="Heading1"/>
        <w:pageBreakBefore/>
      </w:pPr>
      <w:r>
        <w:t>M2 全未命中对照找固定成本</w:t>
      </w:r>
    </w:p>
    <w:p>
      <w:r>
        <w:rPr>
          <w:b/>
        </w:rPr>
        <w:t>问题：</w:t>
      </w:r>
      <w:r>
        <w:rPr>
          <w:b w:val="0"/>
        </w:rPr>
        <w:t>当共享池没有提供复用收益时，它的查询、PUT、发布和同步是否已产生明显代价？</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1871"/>
        <w:gridCol w:w="3175"/>
        <w:gridCol w:w="2778"/>
      </w:tblGrid>
      <w:tr>
        <w:trPr>
          <w:cantSplit/>
          <w:tblHeader/>
        </w:trPr>
        <w:tc>
          <w:tcPr>
            <w:tcW w:type="dxa" w:w="1814"/>
            <w:vAlign w:val="center"/>
            <w:shd w:fill="E8EEF3"/>
            <w:tcMar>
              <w:top w:w="95" w:type="dxa"/>
              <w:bottom w:w="95" w:type="dxa"/>
              <w:left w:w="110" w:type="dxa"/>
              <w:right w:w="110" w:type="dxa"/>
            </w:tcMar>
          </w:tcPr>
          <w:p>
            <w:pPr>
              <w:spacing w:after="0" w:line="280" w:lineRule="exact"/>
              <w:jc w:val="center"/>
            </w:pPr>
            <w:r>
              <w:rPr>
                <w:b/>
                <w:sz w:val="19"/>
              </w:rPr>
            </w:r>
            <w:r>
              <w:rPr>
                <w:b/>
                <w:sz w:val="19"/>
              </w:rPr>
              <w:t>组别</w:t>
            </w:r>
          </w:p>
        </w:tc>
        <w:tc>
          <w:tcPr>
            <w:tcW w:type="dxa" w:w="1871"/>
            <w:vAlign w:val="center"/>
            <w:shd w:fill="E8EEF3"/>
            <w:tcMar>
              <w:top w:w="95" w:type="dxa"/>
              <w:bottom w:w="95" w:type="dxa"/>
              <w:left w:w="110" w:type="dxa"/>
              <w:right w:w="110" w:type="dxa"/>
            </w:tcMar>
          </w:tcPr>
          <w:p>
            <w:pPr>
              <w:spacing w:after="0" w:line="280" w:lineRule="exact"/>
            </w:pPr>
            <w:r>
              <w:rPr>
                <w:b/>
                <w:sz w:val="19"/>
              </w:rPr>
            </w:r>
            <w:r>
              <w:rPr>
                <w:b/>
                <w:sz w:val="19"/>
              </w:rPr>
              <w:t>PP和PD</w:t>
            </w:r>
          </w:p>
        </w:tc>
        <w:tc>
          <w:tcPr>
            <w:tcW w:type="dxa" w:w="3175"/>
            <w:vAlign w:val="center"/>
            <w:shd w:fill="E8EEF3"/>
            <w:tcMar>
              <w:top w:w="95" w:type="dxa"/>
              <w:bottom w:w="95" w:type="dxa"/>
              <w:left w:w="110" w:type="dxa"/>
              <w:right w:w="110" w:type="dxa"/>
            </w:tcMar>
          </w:tcPr>
          <w:p>
            <w:pPr>
              <w:spacing w:after="0" w:line="280" w:lineRule="exact"/>
            </w:pPr>
            <w:r>
              <w:rPr>
                <w:b/>
                <w:sz w:val="19"/>
              </w:rPr>
            </w:r>
            <w:r>
              <w:rPr>
                <w:b/>
                <w:sz w:val="19"/>
              </w:rPr>
              <w:t>共享池</w:t>
            </w:r>
          </w:p>
        </w:tc>
        <w:tc>
          <w:tcPr>
            <w:tcW w:type="dxa" w:w="2778"/>
            <w:vAlign w:val="center"/>
            <w:shd w:fill="E8EEF3"/>
            <w:tcMar>
              <w:top w:w="95" w:type="dxa"/>
              <w:bottom w:w="95" w:type="dxa"/>
              <w:left w:w="110" w:type="dxa"/>
              <w:right w:w="110" w:type="dxa"/>
            </w:tcMar>
          </w:tcPr>
          <w:p>
            <w:pPr>
              <w:spacing w:after="0" w:line="280" w:lineRule="exact"/>
            </w:pPr>
            <w:r>
              <w:rPr>
                <w:b/>
                <w:sz w:val="19"/>
              </w:rPr>
            </w:r>
            <w:r>
              <w:rPr>
                <w:b/>
                <w:sz w:val="19"/>
              </w:rPr>
              <w:t>数据与状态</w:t>
            </w:r>
          </w:p>
        </w:tc>
      </w:tr>
      <w:tr>
        <w:trPr>
          <w:cantSplit/>
        </w:trPr>
        <w:tc>
          <w:tcPr>
            <w:tcW w:type="dxa" w:w="1814"/>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C0</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保持客户原配置</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完整关闭共享读写</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本轮cold.jsonl，APC状态固定</w:t>
            </w:r>
          </w:p>
        </w:tc>
      </w:tr>
      <w:tr>
        <w:trPr>
          <w:cantSplit/>
        </w:trPr>
        <w:tc>
          <w:tcPr>
            <w:tcW w:type="dxa" w:w="1814"/>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D0</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与C0相同</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正常开启</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完全相同文件，每个前缀只出现一次</w:t>
            </w:r>
          </w:p>
        </w:tc>
      </w:tr>
    </w:tbl>
    <w:p>
      <w:pPr>
        <w:spacing w:after="40" w:line="40" w:lineRule="exact"/>
      </w:pPr>
      <w:r>
        <w:rPr>
          <w:sz w:val="4"/>
        </w:rPr>
      </w:r>
    </w:p>
    <w:p>
      <w:r>
        <w:rPr>
          <w:b w:val="0"/>
        </w:rPr>
        <w:t>先用独立diagnostic run-id生成3至5条C=1的时间线样本，不从正式cold.jsonl抽取，否则会提前写入正式冷前缀。50条筛查扩为200条正式轮也必须换新run-id。正式轮用同一个客户代表并发或到达计划；需确认差异时每组200条起、3对重复。各对顺序交替为关→开、开→关、关→开；每对使用新的r01/r02/r03前缀，两组共享同一文件。</w:t>
      </w:r>
    </w:p>
    <w:p>
      <w:r>
        <w:rPr>
          <w:b w:val="0"/>
        </w:rPr>
        <w:t>“全未命中”要求实测总有效外部复用为0，并确认首个可缓存块内已有不同内容。若公共聊天模板本身形成可复用块，应使用已验证的隔离状态或适合现场的等价输入；若仍保留公共命中，就将用例改名为“零资料复用对照”，单列模板命中，不能把全部差值解释为纯未命中固定开销。</w:t>
      </w:r>
    </w:p>
    <w:p>
      <w:r>
        <w:rPr>
          <w:b w:val="0"/>
        </w:rPr>
        <w:t>操作时只替换通用命令的BASE、CASE_FILE、CASE_ID、N与C。池状态由已经核对的服务配置切换，CASE_ID里写c0或d0不会替你修改服务。重启后的热身规则相同；正式发送前和结束后保存指标及日志。</w:t>
      </w:r>
    </w:p>
    <w:p>
      <w:r>
        <w:rPr>
          <w:b/>
        </w:rPr>
        <w:t>主指标：</w:t>
      </w:r>
      <w:r>
        <w:rPr>
          <w:b w:val="0"/>
        </w:rPr>
        <w:t>校准后的TTFT P50或预先选择的客户指标；辅以P90、E2E、成功率、实际输出token数。重点观察PUT返回码、保存排队、发布完成、下一step缓冲重用等待以及各PP阶段空闲。</w:t>
      </w:r>
    </w:p>
    <w:p>
      <w:r>
        <w:rPr>
          <w:b/>
        </w:rPr>
        <w:t>判读：</w:t>
      </w:r>
      <w:r>
        <w:rPr>
          <w:b w:val="0"/>
        </w:rPr>
        <w:t>D0变差只能说明“无复用收益时共享路径有净成本”，不能直接证明池化无用。若有PUT失败，先找错误；若保存等待与退化一起增大，选保存生命周期分支；若只有索引CPU时间升高，查lookup；若成本小，进入M3看真实收益。</w:t>
      </w:r>
    </w:p>
    <w:p>
      <w:r>
        <w:rPr>
          <w:b w:val="0"/>
        </w:rPr>
        <w:t>异步PUT可能影响下一请求或下一step，应检查测量段末尾未排空的保存队列和延迟释放。性能轮至少记录“最后请求完成”和“保存积压恢复到轮前状态”两个时刻；预热和排空成本另报，避免把后台债务丢到下一组。不能用强制每步设备同步的方式来测原本异步的性能。</w:t>
      </w:r>
    </w:p>
    <w:p>
      <w:r>
        <w:rPr>
          <w:b/>
        </w:rPr>
        <w:t>失败条件：</w:t>
      </w:r>
      <w:r>
        <w:rPr>
          <w:b w:val="0"/>
        </w:rPr>
        <w:t>测试资料在D0发生有效复用、两组负载不同、服务中途重启、APC混入或后台残留无法区分，该对作废并重建状态；不是将异常数据删掉后继续比较。</w:t>
      </w:r>
    </w:p>
    <w:p>
      <w:pPr>
        <w:pStyle w:val="Heading1"/>
        <w:pageBreakBefore/>
      </w:pPr>
      <w:r>
        <w:t>M3 稳定远端复用确认净收益</w:t>
      </w:r>
    </w:p>
    <w:p>
      <w:r>
        <w:rPr>
          <w:b/>
        </w:rPr>
        <w:t>问题：</w:t>
      </w:r>
      <w:r>
        <w:rPr>
          <w:b w:val="0"/>
        </w:rPr>
        <w:t>共享池确实让P2少算以后，业务是否仍然变慢？此用例与M2使用不同前缀集合。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1871"/>
        <w:gridCol w:w="3175"/>
        <w:gridCol w:w="2778"/>
      </w:tblGrid>
      <w:tr>
        <w:trPr>
          <w:cantSplit/>
          <w:tblHeader/>
        </w:trPr>
        <w:tc>
          <w:tcPr>
            <w:tcW w:type="dxa" w:w="1814"/>
            <w:vAlign w:val="center"/>
            <w:shd w:fill="E8EEF3"/>
            <w:tcMar>
              <w:top w:w="95" w:type="dxa"/>
              <w:bottom w:w="95" w:type="dxa"/>
              <w:left w:w="110" w:type="dxa"/>
              <w:right w:w="110" w:type="dxa"/>
            </w:tcMar>
          </w:tcPr>
          <w:p>
            <w:pPr>
              <w:spacing w:after="0" w:line="280" w:lineRule="exact"/>
              <w:jc w:val="center"/>
            </w:pPr>
            <w:r>
              <w:rPr>
                <w:b/>
                <w:sz w:val="19"/>
              </w:rPr>
            </w:r>
            <w:r>
              <w:rPr>
                <w:b/>
                <w:sz w:val="19"/>
              </w:rPr>
              <w:t>组别</w:t>
            </w:r>
          </w:p>
        </w:tc>
        <w:tc>
          <w:tcPr>
            <w:tcW w:type="dxa" w:w="1871"/>
            <w:vAlign w:val="center"/>
            <w:shd w:fill="E8EEF3"/>
            <w:tcMar>
              <w:top w:w="95" w:type="dxa"/>
              <w:bottom w:w="95" w:type="dxa"/>
              <w:left w:w="110" w:type="dxa"/>
              <w:right w:w="110" w:type="dxa"/>
            </w:tcMar>
          </w:tcPr>
          <w:p>
            <w:pPr>
              <w:spacing w:after="0" w:line="280" w:lineRule="exact"/>
            </w:pPr>
            <w:r>
              <w:rPr>
                <w:b/>
                <w:sz w:val="19"/>
              </w:rPr>
            </w:r>
            <w:r>
              <w:rPr>
                <w:b/>
                <w:sz w:val="19"/>
              </w:rPr>
              <w:t>正式请求</w:t>
            </w:r>
          </w:p>
        </w:tc>
        <w:tc>
          <w:tcPr>
            <w:tcW w:type="dxa" w:w="3175"/>
            <w:vAlign w:val="center"/>
            <w:shd w:fill="E8EEF3"/>
            <w:tcMar>
              <w:top w:w="95" w:type="dxa"/>
              <w:bottom w:w="95" w:type="dxa"/>
              <w:left w:w="110" w:type="dxa"/>
              <w:right w:w="110" w:type="dxa"/>
            </w:tcMar>
          </w:tcPr>
          <w:p>
            <w:pPr>
              <w:spacing w:after="0" w:line="280" w:lineRule="exact"/>
            </w:pPr>
            <w:r>
              <w:rPr>
                <w:b/>
                <w:sz w:val="19"/>
              </w:rPr>
            </w:r>
            <w:r>
              <w:rPr>
                <w:b/>
                <w:sz w:val="19"/>
              </w:rPr>
              <w:t>预备状态</w:t>
            </w:r>
          </w:p>
        </w:tc>
        <w:tc>
          <w:tcPr>
            <w:tcW w:type="dxa" w:w="2778"/>
            <w:vAlign w:val="center"/>
            <w:shd w:fill="E8EEF3"/>
            <w:tcMar>
              <w:top w:w="95" w:type="dxa"/>
              <w:bottom w:w="95" w:type="dxa"/>
              <w:left w:w="110" w:type="dxa"/>
              <w:right w:w="110" w:type="dxa"/>
            </w:tcMar>
          </w:tcPr>
          <w:p>
            <w:pPr>
              <w:spacing w:after="0" w:line="280" w:lineRule="exact"/>
            </w:pPr>
            <w:r>
              <w:rPr>
                <w:b/>
                <w:sz w:val="19"/>
              </w:rPr>
            </w:r>
            <w:r>
              <w:rPr>
                <w:b/>
                <w:sz w:val="19"/>
              </w:rPr>
              <w:t>是否计入正式成绩</w:t>
            </w:r>
          </w:p>
        </w:tc>
      </w:tr>
      <w:tr>
        <w:trPr>
          <w:cantSplit/>
        </w:trPr>
        <w:tc>
          <w:tcPr>
            <w:tcW w:type="dxa" w:w="1814"/>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Cw池关</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warm_measure.jsonl，固定走P2</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模型已热身；共享复用关闭</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正式请求计入</w:t>
            </w:r>
          </w:p>
        </w:tc>
      </w:tr>
      <w:tr>
        <w:trPr>
          <w:cantSplit/>
        </w:trPr>
        <w:tc>
          <w:tcPr>
            <w:tcW w:type="dxa" w:w="1814"/>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Dw池开</w:t>
            </w:r>
          </w:p>
        </w:tc>
        <w:tc>
          <w:tcPr>
            <w:tcW w:type="dxa" w:w="1871"/>
            <w:vAlign w:val="center"/>
            <w:shd w:fill="FFFFFF"/>
            <w:tcMar>
              <w:top w:w="95" w:type="dxa"/>
              <w:bottom w:w="95" w:type="dxa"/>
              <w:left w:w="110" w:type="dxa"/>
              <w:right w:w="110" w:type="dxa"/>
            </w:tcMar>
          </w:tcPr>
          <w:p>
            <w:pPr>
              <w:spacing w:after="0" w:line="280" w:lineRule="exact"/>
            </w:pPr>
            <w:r>
              <w:rPr>
                <w:b w:val="0"/>
                <w:sz w:val="19"/>
              </w:rPr>
            </w:r>
            <w:r>
              <w:rPr>
                <w:b w:val="0"/>
                <w:sz w:val="19"/>
              </w:rPr>
              <w:t>同一个warm_measure.jsonl</w:t>
            </w:r>
          </w:p>
        </w:tc>
        <w:tc>
          <w:tcPr>
            <w:tcW w:type="dxa" w:w="3175"/>
            <w:vAlign w:val="center"/>
            <w:shd w:fill="FFFFFF"/>
            <w:tcMar>
              <w:top w:w="95" w:type="dxa"/>
              <w:bottom w:w="95" w:type="dxa"/>
              <w:left w:w="110" w:type="dxa"/>
              <w:right w:w="110" w:type="dxa"/>
            </w:tcMar>
          </w:tcPr>
          <w:p>
            <w:pPr>
              <w:spacing w:after="0" w:line="280" w:lineRule="exact"/>
            </w:pPr>
            <w:r>
              <w:rPr>
                <w:b w:val="0"/>
                <w:sz w:val="19"/>
              </w:rPr>
            </w:r>
            <w:r>
              <w:rPr>
                <w:b w:val="0"/>
                <w:sz w:val="19"/>
              </w:rPr>
              <w:t>P1运行warm_seed并确认发布；P2无本地条目</w:t>
            </w:r>
          </w:p>
        </w:tc>
        <w:tc>
          <w:tcPr>
            <w:tcW w:type="dxa" w:w="2778"/>
            <w:vAlign w:val="center"/>
            <w:shd w:fill="FFFFFF"/>
            <w:tcMar>
              <w:top w:w="95" w:type="dxa"/>
              <w:bottom w:w="95" w:type="dxa"/>
              <w:left w:w="110" w:type="dxa"/>
              <w:right w:w="110" w:type="dxa"/>
            </w:tcMar>
          </w:tcPr>
          <w:p>
            <w:pPr>
              <w:spacing w:after="0" w:line="280" w:lineRule="exact"/>
            </w:pPr>
            <w:r>
              <w:rPr>
                <w:b w:val="0"/>
                <w:sz w:val="19"/>
              </w:rPr>
            </w:r>
            <w:r>
              <w:rPr>
                <w:b w:val="0"/>
                <w:sz w:val="19"/>
              </w:rPr>
              <w:t>P1预热不计入稳态时延，另报成本</w:t>
            </w:r>
          </w:p>
        </w:tc>
      </w:tr>
    </w:tbl>
    <w:p>
      <w:pPr>
        <w:spacing w:after="40" w:line="40" w:lineRule="exact"/>
      </w:pPr>
      <w:r>
        <w:rPr>
          <w:sz w:val="4"/>
        </w:rPr>
      </w:r>
    </w:p>
    <w:p>
      <w:pPr>
        <w:ind w:left="255" w:hanging="255"/>
      </w:pPr>
      <w:r>
        <w:rPr>
          <w:b w:val="0"/>
        </w:rPr>
        <w:t>1. 先估算本批缓存能否驻留，必要时从50条开始；若共享池驱逐或容量紧张，缩小批次，而不是将“预热过”当“仍在池里”。</w:t>
      </w:r>
    </w:p>
    <w:p>
      <w:pPr>
        <w:ind w:left="255" w:hanging="255"/>
      </w:pPr>
      <w:r>
        <w:rPr>
          <w:b w:val="0"/>
        </w:rPr>
        <w:t>2. Dw轮先把BASE切到固定P1入口发送warm_seed，确认所有目标条目发布及所需阶段完整；随后切到固定P2入口测量。不要在P2执行同一前缀的端点测试或自动预热。</w:t>
      </w:r>
    </w:p>
    <w:p>
      <w:pPr>
        <w:ind w:left="255" w:hanging="255"/>
      </w:pPr>
      <w:r>
        <w:rPr>
          <w:b w:val="0"/>
        </w:rPr>
        <w:t>3. Cw/Dw使用同一输入、生成参数、客户端版本、负载和请求顺序。每条P2测量请求只读一次；每对重复重新建立状态。若APC不能关闭，参考轮之后必须清除该污染或改用已隔离的干净P2实例。</w:t>
      </w:r>
    </w:p>
    <w:p>
      <w:pPr>
        <w:ind w:left="255" w:hanging="255"/>
      </w:pPr>
      <w:r>
        <w:rPr>
          <w:b w:val="0"/>
        </w:rPr>
        <w:t>4. 记录实际有效外部复用比例、prefill实算量、GET与写回、PUT、保存屏障、P→D交接、排队和业务指标。目标命中率不能代替测得命中率。</w:t>
      </w:r>
    </w:p>
    <w:p>
      <w:pPr>
        <w:ind w:left="255" w:hanging="255"/>
      </w:pPr>
      <w:r>
        <w:rPr>
          <w:b w:val="0"/>
        </w:rPr>
        <w:t>5. 先50条方向筛查；需要稳定判断时采用与M2相同的200条起、3对重复。不预设一定需要0/30/60/90%扫描。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观测结果</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能得出的结论</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最省用例的下一步</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有hit但没少算</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复用证据链未闭合</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查第一处断点，转M4，不做吞吐解释</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少算且TTFT改善</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该条件下池有净收益</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仅补客户差异最大的负载或路由条件</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少算但GET或写回阻塞大</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读取开销候选</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只验证对应传输或布局改变</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少算但PUT或保存等待大</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保存生命周期候选</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核对15636相关实际代码，再做M4</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单请求正常，业务并发异常</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排队、竞争或资源压力候选</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只追加X2一个压力点</w:t>
            </w:r>
          </w:p>
        </w:tc>
      </w:tr>
    </w:tbl>
    <w:p>
      <w:pPr>
        <w:spacing w:after="40" w:line="40" w:lineRule="exact"/>
      </w:pPr>
      <w:r>
        <w:rPr>
          <w:sz w:val="4"/>
        </w:rPr>
      </w:r>
    </w:p>
    <w:p>
      <w:r>
        <w:rPr>
          <w:b w:val="0"/>
        </w:rPr>
        <w:t>M3减去M2的差值不是纯GET成本：命中、计算量和写行为都不同。归因依靠各自开关对照和关键路径。稳态收益也不含冷启动总成本；若业务频繁换前缀，应再用真实混合负载做最终验收，而不是无限扩大机制实验。</w:t>
      </w:r>
    </w:p>
    <w:p>
      <w:pPr>
        <w:pStyle w:val="Heading1"/>
        <w:pageBreakBefore/>
      </w:pPr>
      <w:r>
        <w:t>M4 用一次受控修正闭环根因</w:t>
      </w:r>
    </w:p>
    <w:p>
      <w:r>
        <w:rPr>
          <w:b/>
        </w:rPr>
        <w:t>触发条件：</w:t>
      </w:r>
      <w:r>
        <w:rPr>
          <w:b w:val="0"/>
        </w:rPr>
        <w:t>M1出现稳定错误，或M2/M3出现能够对应到某环节的异常。选择最敏感、最短的那个负载，不把全部实验重新跑一遍。</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jc w:val="center"/>
            </w:pPr>
            <w:r>
              <w:rPr>
                <w:b/>
                <w:sz w:val="19"/>
              </w:rPr>
            </w:r>
            <w:r>
              <w:rPr>
                <w:b/>
                <w:sz w:val="19"/>
              </w:rPr>
              <w:t>阶段</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服务条件</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必须保持一致</w:t>
            </w:r>
          </w:p>
        </w:tc>
      </w:tr>
      <w:tr>
        <w:trPr>
          <w:cantSplit/>
        </w:trPr>
        <w:tc>
          <w:tcPr>
            <w:tcW w:type="dxa" w:w="2721"/>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O1</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客户原版或原配置，重现异常</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请求、缓存状态、拓扑、负载、日志级别</w:t>
            </w:r>
          </w:p>
        </w:tc>
      </w:tr>
      <w:tr>
        <w:trPr>
          <w:cantSplit/>
        </w:trPr>
        <w:tc>
          <w:tcPr>
            <w:tcW w:type="dxa" w:w="2721"/>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F</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同一基线上的一个有明确边界的修正</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除修正项外全部相同</w:t>
            </w:r>
          </w:p>
        </w:tc>
      </w:tr>
      <w:tr>
        <w:trPr>
          <w:cantSplit/>
        </w:trPr>
        <w:tc>
          <w:tcPr>
            <w:tcW w:type="dxa" w:w="2721"/>
            <w:vAlign w:val="center"/>
            <w:shd w:fill="FFFFFF"/>
            <w:tcMar>
              <w:top w:w="95" w:type="dxa"/>
              <w:bottom w:w="95" w:type="dxa"/>
              <w:left w:w="110" w:type="dxa"/>
              <w:right w:w="110" w:type="dxa"/>
            </w:tcMar>
          </w:tcPr>
          <w:p>
            <w:pPr>
              <w:spacing w:after="0" w:line="280" w:lineRule="exact"/>
              <w:jc w:val="center"/>
            </w:pPr>
            <w:r>
              <w:rPr>
                <w:b w:val="0"/>
                <w:sz w:val="19"/>
              </w:rPr>
            </w:r>
            <w:r>
              <w:rPr>
                <w:b w:val="0"/>
                <w:sz w:val="19"/>
              </w:rPr>
              <w:t>O2</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恢复O1，检查异常是否返回</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同样重新热身和建立缓存状态</w:t>
            </w:r>
          </w:p>
        </w:tc>
      </w:tr>
    </w:tbl>
    <w:p>
      <w:pPr>
        <w:spacing w:after="40" w:line="40" w:lineRule="exact"/>
      </w:pPr>
      <w:r>
        <w:rPr>
          <w:sz w:val="4"/>
        </w:rPr>
      </w:r>
    </w:p>
    <w:p>
      <w:r>
        <w:rPr>
          <w:b w:val="0"/>
        </w:rPr>
        <w:t>每个阶段至少保留功能证据和对应业务结果；性能信号使用前述独立重复规则，不能一轮O1、一轮F就认定统计显著。若回退涉及共享状态不兼容，则使用隔离环境的等价反事实对照，不带着新版本修改过的状态硬回退。</w:t>
      </w:r>
    </w:p>
    <w:p>
      <w:pPr>
        <w:pStyle w:val="Heading2"/>
      </w:pPr>
      <w:r>
        <w:t>按信号选择唯一改动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已看到的信号</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合理的单点验证方向</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不能替代的证据</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某PP阶段PUT失败</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针对实际错误的地址、注册或生命周期修正</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只看错误日志消失但没有完整保存和输出验证</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保存屏障拖慢step</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同基线评估对应同步实现或15636适用补丁</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同时升级全栈后只归因15636</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逻辑命中而缺片</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对明确层范围、rank或cache group映射做修正</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打开layerwise就宣布已修复</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GET正常但实际少算不成立</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对加载完成、失败回退或调度采用路径做修正</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把lookup token直接改名为有效复用</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LMCache首rank作用域风险</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另一路线逐stage核对保存者与TP广播源</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作为客户Mooncake根因</w:t>
            </w:r>
          </w:p>
        </w:tc>
      </w:tr>
    </w:tbl>
    <w:p>
      <w:pPr>
        <w:spacing w:after="40" w:line="40" w:lineRule="exact"/>
      </w:pPr>
      <w:r>
        <w:rPr>
          <w:sz w:val="4"/>
        </w:rPr>
      </w:r>
    </w:p>
    <w:p>
      <w:r>
        <w:rPr>
          <w:b/>
        </w:rPr>
        <w:t>结案同时满足：</w:t>
      </w:r>
      <w:r>
        <w:rPr>
          <w:b w:val="0"/>
        </w:rPr>
        <w:t>O1/O2同一异常可重复；F改善该环节而非把功能关掉；F改善预设业务指标；输出正确性、成功率与有效复用不退化；回退后异常和退化返回，或具备等价反事实。</w:t>
      </w:r>
    </w:p>
    <w:p>
      <w:r>
        <w:rPr>
          <w:b w:val="0"/>
        </w:rPr>
        <w:t>若F只改善内部等待但SLO没有恢复，结论应是“该开销存在，但不是当前主要端到端瓶颈”或“仅解释部分损失”。补丁依赖多项变化时，记录完整变更集合，结论限定到该集合。修正和回退均由维护者在隔离测试环境执行，本指南没有让你直接修改生产服务。</w:t>
      </w:r>
    </w:p>
    <w:p>
      <w:pPr>
        <w:pStyle w:val="Heading1"/>
        <w:pageBreakBefore/>
      </w:pPr>
      <w:r>
        <w:t>只在需要时追加的两个分支</w:t>
      </w:r>
    </w:p>
    <w:p>
      <w:pPr>
        <w:pStyle w:val="Heading2"/>
      </w:pPr>
      <w:r>
        <w:t>X1 确认并行布局的交互</w:t>
      </w:r>
    </w:p>
    <w:p>
      <w:r>
        <w:rPr>
          <w:b w:val="0"/>
        </w:rPr>
        <w:t>只要要写“PP放大了池化代价”，就不能仅凭C/D两组下结论。复用M2或M3的一组PP开数据，补A无PP池关、B无PP池开。模型、负载、APC、版本和非PP优化保持一致；A/B不能装下时不能偷偷改TP/DP还称只改PP。</w:t>
      </w:r>
    </w:p>
    <w:p>
      <w:r>
        <w:rPr>
          <w:b w:val="0"/>
        </w:rPr>
        <w:t xml:space="preserve">对同口径平均耗时使用 </w:t>
      </w:r>
      <m:oMath>
        <m:r>
          <m:t>I = </m:t>
        </m:r>
        <m:sSub>
          <m:e>
            <m:r>
              <m:t>Y</m:t>
            </m:r>
          </m:e>
          <m:sub>
            <m:r>
              <m:t>D</m:t>
            </m:r>
          </m:sub>
        </m:sSub>
        <m:r>
          <m:t> − </m:t>
        </m:r>
        <m:sSub>
          <m:e>
            <m:r>
              <m:t>Y</m:t>
            </m:r>
          </m:e>
          <m:sub>
            <m:r>
              <m:t>C</m:t>
            </m:r>
          </m:sub>
        </m:sSub>
        <m:r>
          <m:t> − </m:t>
        </m:r>
        <m:sSub>
          <m:e>
            <m:r>
              <m:t>Y</m:t>
            </m:r>
          </m:e>
          <m:sub>
            <m:r>
              <m:t>B</m:t>
            </m:r>
          </m:sub>
        </m:sSub>
        <m:r>
          <m:t> + </m:t>
        </m:r>
        <m:sSub>
          <m:e>
            <m:r>
              <m:t>Y</m:t>
            </m:r>
          </m:e>
          <m:sub>
            <m:r>
              <m:t>A</m:t>
            </m:r>
          </m:sub>
        </m:sSub>
      </m:oMath>
      <w:r>
        <w:rPr>
          <w:b w:val="0"/>
        </w:rPr>
        <w:t>。例如A=100、B=80、C=120、D=115 ms，交互项15 ms，但D比C仍快5 ms；这只能说明复用收益从20 ms减到5 ms，不能说PP下开池增加15 ms。</w:t>
      </w:r>
    </w:p>
    <w:p>
      <w:r>
        <w:rPr>
          <w:b w:val="0"/>
        </w:rPr>
        <w:t>即使固定TP和DP，改变PP也通常改变活跃设备数和层的分布，因此应报告两种具体布局，而不是抽离资源后的“纯PP效应”。使用平均值和重复差值，不能把P99相减当作阶段耗时。对吞吐分别报告B/A与D/C的收益，并说明是否在同一SLO下比较。</w:t>
      </w:r>
      <w:hyperlink r:id="rId13">
        <w:r>
          <w:rPr>
            <w:color w:val="245D80"/>
            <w:rFonts w:ascii="Microsoft YaHei" w:eastAsia="Microsoft YaHei"/>
          </w:rPr>
          <w:t>交互与混杂参考</w:t>
        </w:r>
      </w:hyperlink>
    </w:p>
    <w:p>
      <w:pPr>
        <w:pStyle w:val="Heading2"/>
      </w:pPr>
      <w:r>
        <w:t>X2 只补一个压力或路由条件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已有线索</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仅追加什么</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应观察的变化</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C=1正常，客诉并发异常</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同负载与缓存下增加客诉并发点</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排队、保存积压、最慢stage和传输竞争</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原亲和路由使某P很忙</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原路由与已确认的均匀路由</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各P队列、命中、实际负载与端到端SLO</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客诉只看P99</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同一条件增加独立样本和持续时间</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尾分布、错误和队列，不能混负载凑样本</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要求最大服务能力</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在两组各做小范围到达率搜索</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最后一个稳定满足SLO的点，而非低QPS完成数</w:t>
            </w:r>
          </w:p>
        </w:tc>
      </w:tr>
    </w:tbl>
    <w:p>
      <w:pPr>
        <w:spacing w:after="40" w:line="40" w:lineRule="exact"/>
      </w:pPr>
      <w:r>
        <w:rPr>
          <w:sz w:val="4"/>
        </w:rPr>
      </w:r>
    </w:p>
    <w:p>
      <w:r>
        <w:rPr>
          <w:b w:val="0"/>
        </w:rPr>
        <w:t>如果仅有单机资源，X1可用于小模型机制教学，但不能替代客户GLM的布局交互结论。单机时延也不是跨节点劣化的必然下界。</w:t>
      </w:r>
    </w:p>
    <w:p>
      <w:pPr>
        <w:pStyle w:val="Heading2"/>
      </w:pPr>
      <w:r>
        <w:t>恢复客户真实条件做一次验收</w:t>
      </w:r>
    </w:p>
    <w:p>
      <w:r>
        <w:rPr>
          <w:b w:val="0"/>
        </w:rPr>
        <w:t>机制实验若关闭了APC、固定了P2路由或强制输出长度，得到的是受控条件结论。完成定位后恢复客户原APC、路由、生成规则与真实长度分布，复验“原版与修正”的最关键对照；这一步才连接业务价值，不需要重跑所有教学用例。</w:t>
      </w:r>
    </w:p>
    <w:p>
      <w:pPr>
        <w:pStyle w:val="Heading1"/>
        <w:pageBreakBefore/>
      </w:pPr>
      <w:r>
        <w:t>指标口径和明确判据</w:t>
      </w:r>
    </w:p>
    <w:p>
      <w:pPr>
        <w:pStyle w:val="Heading2"/>
      </w:pPr>
      <w:r>
        <w:t>开跑前选择一个主指标</w:t>
      </w:r>
    </w:p>
    <w:p>
      <w:r>
        <w:rPr>
          <w:b w:val="0"/>
        </w:rPr>
        <w:t>若问题是首字慢，主指标选经过校准的TTFT；若问题是服务容量，选满足既定TTFT/TPOT与成功率SLO的有效服务能力。输入输出长度差异明显时先分桶。不要测完再挑一个变化最大的指标。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402"/>
        <w:gridCol w:w="3742"/>
      </w:tblGrid>
      <w:tr>
        <w:trPr>
          <w:cantSplit/>
          <w:tblHeader/>
        </w:trPr>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指标</w:t>
            </w:r>
          </w:p>
        </w:tc>
        <w:tc>
          <w:tcPr>
            <w:tcW w:type="dxa" w:w="3402"/>
            <w:vAlign w:val="center"/>
            <w:shd w:fill="E8EEF3"/>
            <w:tcMar>
              <w:top w:w="95" w:type="dxa"/>
              <w:bottom w:w="95" w:type="dxa"/>
              <w:left w:w="110" w:type="dxa"/>
              <w:right w:w="110" w:type="dxa"/>
            </w:tcMar>
          </w:tcPr>
          <w:p>
            <w:pPr>
              <w:spacing w:after="0" w:line="280" w:lineRule="exact"/>
            </w:pPr>
            <w:r>
              <w:rPr>
                <w:b/>
                <w:sz w:val="19"/>
              </w:rPr>
            </w:r>
            <w:r>
              <w:rPr>
                <w:b/>
                <w:sz w:val="19"/>
              </w:rPr>
              <w:t>计算或读取方法</w:t>
            </w:r>
          </w:p>
        </w:tc>
        <w:tc>
          <w:tcPr>
            <w:tcW w:type="dxa" w:w="3742"/>
            <w:vAlign w:val="center"/>
            <w:shd w:fill="E8EEF3"/>
            <w:tcMar>
              <w:top w:w="95" w:type="dxa"/>
              <w:bottom w:w="95" w:type="dxa"/>
              <w:left w:w="110" w:type="dxa"/>
              <w:right w:w="110" w:type="dxa"/>
            </w:tcMar>
          </w:tcPr>
          <w:p>
            <w:pPr>
              <w:spacing w:after="0" w:line="280" w:lineRule="exact"/>
            </w:pPr>
            <w:r>
              <w:rPr>
                <w:b/>
                <w:sz w:val="19"/>
              </w:rPr>
            </w:r>
            <w:r>
              <w:rPr>
                <w:b/>
                <w:sz w:val="19"/>
              </w:rPr>
              <w:t>判读边界</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请求成功率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正常完成数除以实际发出数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超时、错误、取消独列，不从分母删掉</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正确性通过率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符合测试答案或正确性规则的请求占比</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与HTTP成功率分开；小样本不等于全面模型精度</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TTFT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请求发出到首有效模型token，通常毫秒</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bench首choices口径须先校准</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E2E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请求发出到完成的时长</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失败请求另报，不用成功分位数掩盖失败</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TPOT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输出大于1时，用E2E减TTFT再除以输出token数减1</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取实际输出；一包不等于一个token</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输出tokens每秒</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成功输出token总数除以测量窗时长</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说明请求窗和排空窗，不混输入token</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SLO达标请求每秒</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同时成功且满足所有预设SLO的请求数除以测量窗</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没有预设SLO就不能称达标容量</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有效外部复用比例</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归因外部池且实际少算的输入token除以总输入token</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APC单列，PP/TP不重复累加</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内部传输失败</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失败尝试数和受影响请求数分别统计</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服务成功也可能内部失败后重算</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保存等待</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step因保存未完成而不能继续的等待</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不是后台PUT总时长，多个rank不能直接求和</w:t>
            </w:r>
          </w:p>
        </w:tc>
      </w:tr>
    </w:tbl>
    <w:p>
      <w:pPr>
        <w:spacing w:after="40" w:line="40" w:lineRule="exact"/>
      </w:pPr>
      <w:r>
        <w:rPr>
          <w:sz w:val="4"/>
        </w:rPr>
      </w:r>
    </w:p>
    <w:p>
      <w:r>
        <w:rPr>
          <w:b w:val="0"/>
        </w:rPr>
        <w:t>前端usage.prompt_tokens通常是输入长度，并不是“新计算的token”。不能仅凭它或lookup命中数声称实算下降；需要调度器/worker实算计数或经验证的等价证据。</w:t>
      </w:r>
    </w:p>
    <w:p>
      <w:pPr>
        <w:pStyle w:val="Heading2"/>
      </w:pPr>
      <w:r>
        <w:t>筛查阈值和停止规则</w:t>
      </w:r>
    </w:p>
    <w:p>
      <w:r>
        <w:rPr>
          <w:b w:val="0"/>
        </w:rPr>
        <w:t>示范阈值可约定“TTFT P50恶化至少10%且至少20 ms”，同时记录三对原始值和自然波动。这只是工程触发线，不是普遍真理；5%等更小变化若已导致客户SLO失败也应处理。三次同向只能形成筛查信号，差异与波动相当时增加重复，不能任选最好一次。</w:t>
      </w:r>
    </w:p>
    <w:p>
      <w:r>
        <w:rPr>
          <w:b w:val="0"/>
        </w:rPr>
        <w:t>每轮200个样本的最慢1%只有约2个观测，P99不稳。需要P99验收时，数千至上万样本可作为起点，仍须观察区间、稳定性和真实持续负载，没有一个固定样本量自动保证可信。已形成M4闭环且业务验收通过就停止；未复现只能写“本条件未复现”。</w:t>
      </w:r>
    </w:p>
    <w:p>
      <w:pPr>
        <w:pStyle w:val="Heading1"/>
        <w:pageBreakBefore/>
      </w:pPr>
      <w:r>
        <w:t>现成指标和日志怎样读取</w:t>
      </w:r>
    </w:p>
    <w:p>
      <w:pPr>
        <w:pStyle w:val="Heading2"/>
      </w:pPr>
      <w:r>
        <w:t>先采快照 再看正确的增量</w:t>
      </w:r>
    </w:p>
    <w:p>
      <w:r>
        <w:rPr>
          <w:b w:val="0"/>
        </w:rPr>
        <w:t>METRICS_BASE填P1、P2或D实例的指标地址，各实例分别保存。它不一定等于proxy的BASE。文件后缀before和after不要互相覆盖。</w:t>
      </w:r>
    </w:p>
    <w:p>
      <w:pPr>
        <w:keepNext/>
        <w:spacing w:line="260" w:lineRule="exact" w:after="0"/>
      </w:pPr>
      <w:r>
        <w:rPr>
          <w:rFonts w:ascii="Consolas" w:hAnsi="Consolas" w:eastAsia="Microsoft YaHei"/>
          <w:sz w:val="18"/>
        </w:rPr>
        <w:t>METRICS_BASE='http://实际实例地址:端口'</w:t>
      </w:r>
    </w:p>
    <w:p>
      <w:pPr>
        <w:keepNext/>
        <w:spacing w:line="260" w:lineRule="exact" w:after="0"/>
      </w:pPr>
      <w:r>
        <w:rPr>
          <w:rFonts w:ascii="Consolas" w:hAnsi="Consolas" w:eastAsia="Microsoft YaHei"/>
          <w:sz w:val="18"/>
        </w:rPr>
        <w:t>curl --fail --silent --show-error "$METRICS_BASE/metrics" \</w:t>
      </w:r>
    </w:p>
    <w:p>
      <w:pPr>
        <w:keepNext/>
        <w:spacing w:line="260" w:lineRule="exact" w:after="0"/>
      </w:pPr>
      <w:r>
        <w:rPr>
          <w:rFonts w:ascii="Consolas" w:hAnsi="Consolas" w:eastAsia="Microsoft YaHei"/>
          <w:sz w:val="18"/>
        </w:rPr>
        <w:t xml:space="preserve">  &gt; "$RUN_DIR/$CASE_ID/p2-before.prom"</w:t>
      </w:r>
    </w:p>
    <w:p>
      <w:pPr>
        <w:keepNext w:val="0"/>
        <w:spacing w:line="260" w:lineRule="exact" w:after="100"/>
      </w:pPr>
      <w:r>
        <w:rPr>
          <w:rFonts w:ascii="Consolas" w:hAnsi="Consolas" w:eastAsia="Microsoft YaHei"/>
          <w:sz w:val="18"/>
        </w:rPr>
        <w:t># 正式测试完成后再次执行，文件名改为p2-after.prom。</w:t>
      </w:r>
    </w:p>
    <w:p>
      <w:r>
        <w:rPr>
          <w:b w:val="0"/>
        </w:rPr>
        <w:t>counter是累计计数，用同实例同标签的after减before；gauge是当前状态，要在轮内采样看峰值；histogram的sum/count可求操作均值。服务重启使counter归零时应分段或作废该轮。所有轮使用相同采样频率，后台保存积压需持续观察至恢复。request-id-prefix用于客户端标识；proxy若重写请求ID，应保存客户端到P/D的映射，不能假定所有节点编号天然相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92"/>
        <w:gridCol w:w="2494"/>
        <w:gridCol w:w="2551"/>
      </w:tblGrid>
      <w:tr>
        <w:trPr>
          <w:cantSplit/>
          <w:tblHeader/>
        </w:trPr>
        <w:tc>
          <w:tcPr>
            <w:tcW w:type="dxa" w:w="4592"/>
            <w:vAlign w:val="center"/>
            <w:shd w:fill="E8EEF3"/>
            <w:tcMar>
              <w:top w:w="95" w:type="dxa"/>
              <w:bottom w:w="95" w:type="dxa"/>
              <w:left w:w="110" w:type="dxa"/>
              <w:right w:w="110" w:type="dxa"/>
            </w:tcMar>
          </w:tcPr>
          <w:p>
            <w:pPr>
              <w:spacing w:after="0" w:line="280" w:lineRule="exact"/>
            </w:pPr>
            <w:r>
              <w:rPr>
                <w:b/>
                <w:sz w:val="19"/>
              </w:rPr>
            </w:r>
            <w:r>
              <w:rPr>
                <w:b/>
                <w:sz w:val="19"/>
              </w:rPr>
              <w:t>指标或字段</w:t>
            </w:r>
          </w:p>
        </w:tc>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能说明什么</w:t>
            </w:r>
          </w:p>
        </w:tc>
        <w:tc>
          <w:tcPr>
            <w:tcW w:type="dxa" w:w="2551"/>
            <w:vAlign w:val="center"/>
            <w:shd w:fill="E8EEF3"/>
            <w:tcMar>
              <w:top w:w="95" w:type="dxa"/>
              <w:bottom w:w="95" w:type="dxa"/>
              <w:left w:w="110" w:type="dxa"/>
              <w:right w:w="110" w:type="dxa"/>
            </w:tcMar>
          </w:tcPr>
          <w:p>
            <w:pPr>
              <w:spacing w:after="0" w:line="280" w:lineRule="exact"/>
            </w:pPr>
            <w:r>
              <w:rPr>
                <w:b/>
                <w:sz w:val="19"/>
              </w:rPr>
            </w:r>
            <w:r>
              <w:rPr>
                <w:b/>
                <w:sz w:val="19"/>
              </w:rPr>
              <w:t>不能说明什么</w:t>
            </w:r>
          </w:p>
        </w:tc>
      </w:tr>
      <w:tr>
        <w:trPr>
          <w:cantSplit/>
        </w:trPr>
        <w:tc>
          <w:tcPr>
            <w:tcW w:type="dxa" w:w="4592"/>
            <w:vAlign w:val="center"/>
            <w:shd w:fill="FFFFFF"/>
            <w:tcMar>
              <w:top w:w="95" w:type="dxa"/>
              <w:bottom w:w="95" w:type="dxa"/>
              <w:left w:w="110" w:type="dxa"/>
              <w:right w:w="110" w:type="dxa"/>
            </w:tcMar>
          </w:tcPr>
          <w:p>
            <w:pPr>
              <w:spacing w:after="0" w:line="280" w:lineRule="exact"/>
            </w:pPr>
            <w:r>
              <w:rPr>
                <w:b w:val="0"/>
                <w:sz w:val="19"/>
              </w:rPr>
            </w:r>
            <w:r>
              <w:rPr>
                <w:b w:val="0"/>
                <w:sz w:val="19"/>
              </w:rPr>
              <w:t>prefix_cache_queries_total及prefix_cache_hits_total</w:t>
            </w:r>
          </w:p>
        </w:tc>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相应引擎的本地前缀查询与命中</w:t>
            </w:r>
          </w:p>
        </w:tc>
        <w:tc>
          <w:tcPr>
            <w:tcW w:type="dxa" w:w="2551"/>
            <w:vAlign w:val="center"/>
            <w:shd w:fill="FFFFFF"/>
            <w:tcMar>
              <w:top w:w="95" w:type="dxa"/>
              <w:bottom w:w="95" w:type="dxa"/>
              <w:left w:w="110" w:type="dxa"/>
              <w:right w:w="110" w:type="dxa"/>
            </w:tcMar>
          </w:tcPr>
          <w:p>
            <w:pPr>
              <w:spacing w:after="0" w:line="280" w:lineRule="exact"/>
            </w:pPr>
            <w:r>
              <w:rPr>
                <w:b w:val="0"/>
                <w:sz w:val="19"/>
              </w:rPr>
            </w:r>
            <w:r>
              <w:rPr>
                <w:b w:val="0"/>
                <w:sz w:val="19"/>
              </w:rPr>
              <w:t>共享池GET成功</w:t>
            </w:r>
          </w:p>
        </w:tc>
      </w:tr>
      <w:tr>
        <w:trPr>
          <w:cantSplit/>
        </w:trPr>
        <w:tc>
          <w:tcPr>
            <w:tcW w:type="dxa" w:w="4592"/>
            <w:vAlign w:val="center"/>
            <w:shd w:fill="FFFFFF"/>
            <w:tcMar>
              <w:top w:w="95" w:type="dxa"/>
              <w:bottom w:w="95" w:type="dxa"/>
              <w:left w:w="110" w:type="dxa"/>
              <w:right w:w="110" w:type="dxa"/>
            </w:tcMar>
          </w:tcPr>
          <w:p>
            <w:pPr>
              <w:spacing w:after="0" w:line="280" w:lineRule="exact"/>
            </w:pPr>
            <w:r>
              <w:rPr>
                <w:b w:val="0"/>
                <w:sz w:val="19"/>
              </w:rPr>
            </w:r>
            <w:r>
              <w:rPr>
                <w:b w:val="0"/>
                <w:sz w:val="19"/>
              </w:rPr>
              <w:t>external_prefix_cache_queries_total及external_prefix_cache_hits_total</w:t>
            </w:r>
          </w:p>
        </w:tc>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connector返回的外部候选命中</w:t>
            </w:r>
          </w:p>
        </w:tc>
        <w:tc>
          <w:tcPr>
            <w:tcW w:type="dxa" w:w="2551"/>
            <w:vAlign w:val="center"/>
            <w:shd w:fill="FFFFFF"/>
            <w:tcMar>
              <w:top w:w="95" w:type="dxa"/>
              <w:bottom w:w="95" w:type="dxa"/>
              <w:left w:w="110" w:type="dxa"/>
              <w:right w:w="110" w:type="dxa"/>
            </w:tcMar>
          </w:tcPr>
          <w:p>
            <w:pPr>
              <w:spacing w:after="0" w:line="280" w:lineRule="exact"/>
            </w:pPr>
            <w:r>
              <w:rPr>
                <w:b w:val="0"/>
                <w:sz w:val="19"/>
              </w:rPr>
            </w:r>
            <w:r>
              <w:rPr>
                <w:b w:val="0"/>
                <w:sz w:val="19"/>
              </w:rPr>
              <w:t>在MultiConnector/PD下自动等于Store净收益</w:t>
            </w:r>
          </w:p>
        </w:tc>
      </w:tr>
      <w:tr>
        <w:trPr>
          <w:cantSplit/>
        </w:trPr>
        <w:tc>
          <w:tcPr>
            <w:tcW w:type="dxa" w:w="4592"/>
            <w:vAlign w:val="center"/>
            <w:shd w:fill="FFFFFF"/>
            <w:tcMar>
              <w:top w:w="95" w:type="dxa"/>
              <w:bottom w:w="95" w:type="dxa"/>
              <w:left w:w="110" w:type="dxa"/>
              <w:right w:w="110" w:type="dxa"/>
            </w:tcMar>
          </w:tcPr>
          <w:p>
            <w:pPr>
              <w:spacing w:after="0" w:line="280" w:lineRule="exact"/>
            </w:pPr>
            <w:r>
              <w:rPr>
                <w:b w:val="0"/>
                <w:sz w:val="19"/>
              </w:rPr>
            </w:r>
            <w:r>
              <w:rPr>
                <w:b w:val="0"/>
                <w:sz w:val="19"/>
              </w:rPr>
              <w:t>request_prefill_kv_computed_tokens</w:t>
            </w:r>
          </w:p>
        </w:tc>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新计算prefill token分布</w:t>
            </w:r>
          </w:p>
        </w:tc>
        <w:tc>
          <w:tcPr>
            <w:tcW w:type="dxa" w:w="2551"/>
            <w:vAlign w:val="center"/>
            <w:shd w:fill="FFFFFF"/>
            <w:tcMar>
              <w:top w:w="95" w:type="dxa"/>
              <w:bottom w:w="95" w:type="dxa"/>
              <w:left w:w="110" w:type="dxa"/>
              <w:right w:w="110" w:type="dxa"/>
            </w:tcMar>
          </w:tcPr>
          <w:p>
            <w:pPr>
              <w:spacing w:after="0" w:line="280" w:lineRule="exact"/>
            </w:pPr>
            <w:r>
              <w:rPr>
                <w:b w:val="0"/>
                <w:sz w:val="19"/>
              </w:rPr>
            </w:r>
            <w:r>
              <w:rPr>
                <w:b w:val="0"/>
                <w:sz w:val="19"/>
              </w:rPr>
              <w:t>只靠累计值就能匹配任意请求</w:t>
            </w:r>
          </w:p>
        </w:tc>
      </w:tr>
      <w:tr>
        <w:trPr>
          <w:cantSplit/>
        </w:trPr>
        <w:tc>
          <w:tcPr>
            <w:tcW w:type="dxa" w:w="4592"/>
            <w:vAlign w:val="center"/>
            <w:shd w:fill="FFFFFF"/>
            <w:tcMar>
              <w:top w:w="95" w:type="dxa"/>
              <w:bottom w:w="95" w:type="dxa"/>
              <w:left w:w="110" w:type="dxa"/>
              <w:right w:w="110" w:type="dxa"/>
            </w:tcMar>
          </w:tcPr>
          <w:p>
            <w:pPr>
              <w:spacing w:after="0" w:line="280" w:lineRule="exact"/>
            </w:pPr>
            <w:r>
              <w:rPr>
                <w:b w:val="0"/>
                <w:sz w:val="19"/>
              </w:rPr>
            </w:r>
            <w:r>
              <w:rPr>
                <w:b w:val="0"/>
                <w:sz w:val="19"/>
              </w:rPr>
              <w:t>ascend_store_load_get_duration_seconds</w:t>
            </w:r>
          </w:p>
        </w:tc>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当前非layerwise每worker的Backend.get时长</w:t>
            </w:r>
          </w:p>
        </w:tc>
        <w:tc>
          <w:tcPr>
            <w:tcW w:type="dxa" w:w="2551"/>
            <w:vAlign w:val="center"/>
            <w:shd w:fill="FFFFFF"/>
            <w:tcMar>
              <w:top w:w="95" w:type="dxa"/>
              <w:bottom w:w="95" w:type="dxa"/>
              <w:left w:w="110" w:type="dxa"/>
              <w:right w:w="110" w:type="dxa"/>
            </w:tcMar>
          </w:tcPr>
          <w:p>
            <w:pPr>
              <w:spacing w:after="0" w:line="280" w:lineRule="exact"/>
            </w:pPr>
            <w:r>
              <w:rPr>
                <w:b w:val="0"/>
                <w:sz w:val="19"/>
              </w:rPr>
            </w:r>
            <w:r>
              <w:rPr>
                <w:b w:val="0"/>
                <w:sz w:val="19"/>
              </w:rPr>
              <w:t>所有rank时长相加就是请求等待</w:t>
            </w:r>
          </w:p>
        </w:tc>
      </w:tr>
      <w:tr>
        <w:trPr>
          <w:cantSplit/>
        </w:trPr>
        <w:tc>
          <w:tcPr>
            <w:tcW w:type="dxa" w:w="4592"/>
            <w:vAlign w:val="center"/>
            <w:shd w:fill="FFFFFF"/>
            <w:tcMar>
              <w:top w:w="95" w:type="dxa"/>
              <w:bottom w:w="95" w:type="dxa"/>
              <w:left w:w="110" w:type="dxa"/>
              <w:right w:w="110" w:type="dxa"/>
            </w:tcMar>
          </w:tcPr>
          <w:p>
            <w:pPr>
              <w:spacing w:after="0" w:line="280" w:lineRule="exact"/>
            </w:pPr>
            <w:r>
              <w:rPr>
                <w:b w:val="0"/>
                <w:sz w:val="19"/>
              </w:rPr>
            </w:r>
            <w:r>
              <w:rPr>
                <w:b w:val="0"/>
                <w:sz w:val="19"/>
              </w:rPr>
              <w:t>ascend_store_load_get_keys_total</w:t>
            </w:r>
          </w:p>
        </w:tc>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完成get调用中传入的key数</w:t>
            </w:r>
          </w:p>
        </w:tc>
        <w:tc>
          <w:tcPr>
            <w:tcW w:type="dxa" w:w="2551"/>
            <w:vAlign w:val="center"/>
            <w:shd w:fill="FFFFFF"/>
            <w:tcMar>
              <w:top w:w="95" w:type="dxa"/>
              <w:bottom w:w="95" w:type="dxa"/>
              <w:left w:w="110" w:type="dxa"/>
              <w:right w:w="110" w:type="dxa"/>
            </w:tcMar>
          </w:tcPr>
          <w:p>
            <w:pPr>
              <w:spacing w:after="0" w:line="280" w:lineRule="exact"/>
            </w:pPr>
            <w:r>
              <w:rPr>
                <w:b w:val="0"/>
                <w:sz w:val="19"/>
              </w:rPr>
            </w:r>
            <w:r>
              <w:rPr>
                <w:b w:val="0"/>
                <w:sz w:val="19"/>
              </w:rPr>
              <w:t>成功命中key数或成功复用token数</w:t>
            </w:r>
          </w:p>
        </w:tc>
      </w:tr>
      <w:tr>
        <w:trPr>
          <w:cantSplit/>
        </w:trPr>
        <w:tc>
          <w:tcPr>
            <w:tcW w:type="dxa" w:w="4592"/>
            <w:vAlign w:val="center"/>
            <w:shd w:fill="FFFFFF"/>
            <w:tcMar>
              <w:top w:w="95" w:type="dxa"/>
              <w:bottom w:w="95" w:type="dxa"/>
              <w:left w:w="110" w:type="dxa"/>
              <w:right w:w="110" w:type="dxa"/>
            </w:tcMar>
          </w:tcPr>
          <w:p>
            <w:pPr>
              <w:spacing w:after="0" w:line="280" w:lineRule="exact"/>
            </w:pPr>
            <w:r>
              <w:rPr>
                <w:b w:val="0"/>
                <w:sz w:val="19"/>
              </w:rPr>
            </w:r>
            <w:r>
              <w:rPr>
                <w:b w:val="0"/>
                <w:sz w:val="19"/>
              </w:rPr>
              <w:t>ascend_store_delayed_release_requests及ascend_store_delayed_release_blocks</w:t>
            </w:r>
          </w:p>
        </w:tc>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异步保存导致暂不能释放的引用状态</w:t>
            </w:r>
          </w:p>
        </w:tc>
        <w:tc>
          <w:tcPr>
            <w:tcW w:type="dxa" w:w="2551"/>
            <w:vAlign w:val="center"/>
            <w:shd w:fill="FFFFFF"/>
            <w:tcMar>
              <w:top w:w="95" w:type="dxa"/>
              <w:bottom w:w="95" w:type="dxa"/>
              <w:left w:w="110" w:type="dxa"/>
              <w:right w:w="110" w:type="dxa"/>
            </w:tcMar>
          </w:tcPr>
          <w:p>
            <w:pPr>
              <w:spacing w:after="0" w:line="280" w:lineRule="exact"/>
            </w:pPr>
            <w:r>
              <w:rPr>
                <w:b w:val="0"/>
                <w:sz w:val="19"/>
              </w:rPr>
            </w:r>
            <w:r>
              <w:rPr>
                <w:b w:val="0"/>
                <w:sz w:val="19"/>
              </w:rPr>
              <w:t>唯一物理block字节数或总排队量</w:t>
            </w:r>
          </w:p>
        </w:tc>
      </w:tr>
      <w:tr>
        <w:trPr>
          <w:cantSplit/>
        </w:trPr>
        <w:tc>
          <w:tcPr>
            <w:tcW w:type="dxa" w:w="4592"/>
            <w:vAlign w:val="center"/>
            <w:shd w:fill="FFFFFF"/>
            <w:tcMar>
              <w:top w:w="95" w:type="dxa"/>
              <w:bottom w:w="95" w:type="dxa"/>
              <w:left w:w="110" w:type="dxa"/>
              <w:right w:w="110" w:type="dxa"/>
            </w:tcMar>
          </w:tcPr>
          <w:p>
            <w:pPr>
              <w:spacing w:after="0" w:line="280" w:lineRule="exact"/>
            </w:pPr>
            <w:r>
              <w:rPr>
                <w:b w:val="0"/>
                <w:sz w:val="19"/>
              </w:rPr>
            </w:r>
            <w:r>
              <w:rPr>
                <w:b w:val="0"/>
                <w:sz w:val="19"/>
              </w:rPr>
              <w:t>num_requests_waiting及num_requests_running</w:t>
            </w:r>
          </w:p>
        </w:tc>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队列及执行中的请求</w:t>
            </w:r>
          </w:p>
        </w:tc>
        <w:tc>
          <w:tcPr>
            <w:tcW w:type="dxa" w:w="2551"/>
            <w:vAlign w:val="center"/>
            <w:shd w:fill="FFFFFF"/>
            <w:tcMar>
              <w:top w:w="95" w:type="dxa"/>
              <w:bottom w:w="95" w:type="dxa"/>
              <w:left w:w="110" w:type="dxa"/>
              <w:right w:w="110" w:type="dxa"/>
            </w:tcMar>
          </w:tcPr>
          <w:p>
            <w:pPr>
              <w:spacing w:after="0" w:line="280" w:lineRule="exact"/>
            </w:pPr>
            <w:r>
              <w:rPr>
                <w:b w:val="0"/>
                <w:sz w:val="19"/>
              </w:rPr>
            </w:r>
            <w:r>
              <w:rPr>
                <w:b w:val="0"/>
                <w:sz w:val="19"/>
              </w:rPr>
              <w:t>纯缓存开销</w:t>
            </w:r>
          </w:p>
        </w:tc>
      </w:tr>
    </w:tbl>
    <w:p>
      <w:pPr>
        <w:spacing w:after="40" w:line="40" w:lineRule="exact"/>
      </w:pPr>
      <w:r>
        <w:rPr>
          <w:sz w:val="4"/>
        </w:rPr>
      </w:r>
    </w:p>
    <w:p>
      <w:r>
        <w:rPr>
          <w:b w:val="0"/>
        </w:rPr>
        <w:t>上表省略共同前缀vllm:；目标服务中不存在的字段写NA。GET均值可用1000乘以sum增量除以count增量，单位毫秒；count增量为0时写“无样本”，不写0 ms。当前Ascend字段与vLLM 0.18通用字段分属不同源码快照，存在性以现场为准。</w:t>
      </w:r>
      <w:hyperlink r:id="rId14">
        <w:r>
          <w:rPr>
            <w:color w:val="245D80"/>
            <w:rFonts w:ascii="Microsoft YaHei" w:eastAsia="Microsoft YaHei"/>
          </w:rPr>
          <w:t>Ascend指标定义</w:t>
        </w:r>
      </w:hyperlink>
    </w:p>
    <w:p>
      <w:pPr>
        <w:pStyle w:val="Heading2"/>
      </w:pPr>
      <w:r>
        <w:t>首先搜索这些真实日志</w:t>
      </w:r>
    </w:p>
    <w:p>
      <w:r>
        <w:rPr>
          <w:b w:val="0"/>
        </w:rPr>
        <w:t>候选命中看kvpool hit tokens；GET请求关联看backend get request；读写失败看Failed to put、Failed to get和error_codes；保存线程看Failed to store KV cache；保存等待看Previous KV save batch completed after waiting；失败块看Failed to load blocks。具体日志级别和版本按代码核对；没有日志不等于错误为0。</w:t>
      </w:r>
      <w:hyperlink r:id="rId15">
        <w:r>
          <w:rPr>
            <w:color w:val="245D80"/>
            <w:rFonts w:ascii="Microsoft YaHei" w:eastAsia="Microsoft YaHei"/>
          </w:rPr>
          <w:t>后端错误日志</w:t>
        </w:r>
      </w:hyperlink>
    </w:p>
    <w:p>
      <w:pPr>
        <w:pStyle w:val="Heading1"/>
        <w:pageBreakBefore/>
      </w:pPr>
      <w:r>
        <w:t>指标不够时只补最少的观测</w:t>
      </w:r>
    </w:p>
    <w:p>
      <w:r>
        <w:rPr>
          <w:b w:val="0"/>
        </w:rPr>
        <w:t>先使用已有日志和指标。只有无法回答“哪里多等了”时，才由工程师对客户版本增加下列有限计时，并将观测补丁保持在所有对照组一致。不要每token打印，不要为了计时强制每步NPU同步。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位置</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最少字段</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作用</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lookup入口和返回</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request_id、输入token、本地命中、候选外部token、起止时间</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判断查找与命中承诺</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GET边界</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请求、PP/TP/group、key数、字节、提交与完成、错误码</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判断分片与读取成本</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PUT入队和实际执行</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batch/request、入队、开始、完成、成功失败key数</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分开排队和真正传输</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保存屏障</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等待起止、batch、stage及对应step</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找到未被重叠隐藏的等待</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加载被采用和实际计算</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成功加载token、实算token、失败重算</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连上“命中→少算”</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PD交接</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P→D独立传输开始与完成、字节</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与共享池GET分开</w:t>
            </w:r>
          </w:p>
        </w:tc>
      </w:tr>
    </w:tbl>
    <w:p>
      <w:pPr>
        <w:spacing w:after="40" w:line="40" w:lineRule="exact"/>
      </w:pPr>
      <w:r>
        <w:rPr>
          <w:sz w:val="4"/>
        </w:rPr>
      </w:r>
    </w:p>
    <w:p>
      <w:r>
        <w:rPr>
          <w:b w:val="0"/>
        </w:rPr>
        <w:t>当前后端PUT会记录失败key，但外层调用返回不可靠地代表全部key成功。因此只在外层测耗时不够，还要保留后端返回码。</w:t>
      </w:r>
      <w:hyperlink r:id="rId16">
        <w:r>
          <w:rPr>
            <w:color w:val="245D80"/>
            <w:rFonts w:ascii="Microsoft YaHei" w:eastAsia="Microsoft YaHei"/>
          </w:rPr>
          <w:t>PUT路径</w:t>
        </w:r>
      </w:hyperlink>
    </w:p>
    <w:p>
      <w:r>
        <w:rPr>
          <w:b w:val="0"/>
        </w:rPr>
        <w:t>主机perf_counter_ns可量同一进程内的间隔，但异步提交耗时不是设备执行耗时；跨节点绝对时间需要校时。能按request_id关联仍不表示各节点时钟已对齐。必要时只抓少量设备级trace，并与无重型profile的正式成绩分开。</w:t>
      </w:r>
    </w:p>
    <w:p>
      <w:pPr>
        <w:pStyle w:val="Heading2"/>
      </w:pPr>
      <w:r>
        <w:t>一个教学例子</w:t>
      </w:r>
    </w:p>
    <w:p>
      <w:r>
        <w:rPr>
          <w:b w:val="0"/>
        </w:rPr>
        <w:t>假设O1与O2的TTFT P50分别为120和123 ms，F为92 ms；保存关键等待从约25 ms降到3 ms，实际复用、输出和成功率相同。这个模式支持保存等待有重要贡献，但仍应查看独立重复与负载条件。反之若等待降了22 ms，TTFT仍约120 ms，应继续查其他关键路径，不能把内部改善直接写成用户收益。</w:t>
      </w:r>
    </w:p>
    <w:p>
      <w:r>
        <w:rPr>
          <w:b w:val="0"/>
        </w:rPr>
        <w:t>这些数字不是实测结果。填写附件表格时只填实际采集值；并行事件存在重叠，不能要求内部各段改善之和恰好等于TTFT变化。</w:t>
      </w:r>
    </w:p>
    <w:p>
      <w:pPr>
        <w:pStyle w:val="Heading1"/>
        <w:pageBreakBefore/>
      </w:pPr>
      <w:r>
        <w:t>结果记录和结案模板</w:t>
      </w:r>
    </w:p>
    <w:p>
      <w:r>
        <w:rPr>
          <w:b w:val="0"/>
        </w:rPr>
        <w:t>附件提供四张空表：run_manifest.csv记录实验条件，request_evidence.csv记录M1证据链，stage_events.csv记录需要补充的事件，comparison.csv记录每轮指标。它们只是约定记录格式，不是服务已经自动输出的字段。</w:t>
      </w:r>
    </w:p>
    <w:p>
      <w:r>
        <w:rPr>
          <w:b w:val="0"/>
        </w:rPr>
        <w:t>每个正式轮使用唯一run_id，至少记录CASE_ID、池状态、APC、P路由、PP/TP/DP、版本、数据文件、并发或到达率、模型热身与池预热状态。写清planned、sent、completed和failed数量；超时请求也保留，不能以成功样本替换后凑N而不报告额外请求。</w:t>
      </w:r>
    </w:p>
    <w:p>
      <w:pPr>
        <w:pStyle w:val="Heading2"/>
      </w:pPr>
      <w:r>
        <w:t>用这一段形成有证据的最终结论</w:t>
      </w:r>
    </w:p>
    <w:p>
      <w:r>
        <w:rPr>
          <w:b w:val="0"/>
        </w:rPr>
        <w:t>“在【模型与权重】【软件提交】【P/D并行拓扑】【池路径】【APC与路由】【长度分布】【并发或到达计划】条件下，M1证实/未证实【跨P发布、加载、完整性与实际少算】。M2/M3的主指标由【基线逐轮值】变为【候选逐轮值】，差异【范围】；失败与正确性【结果】。异常集中于【具体阶段和事件】。M4只改变【补丁或配置集合】后，该异常【变化】，业务【变化】，回退【结果】。因此确认【具体贡献或根因】，尚不能推出【未覆盖的模型、拓扑或负载】。”</w:t>
      </w:r>
    </w:p>
    <w:p>
      <w:pPr>
        <w:pStyle w:val="Heading2"/>
      </w:pPr>
      <w:r>
        <w:t>判读速查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458"/>
        <w:gridCol w:w="3458"/>
      </w:tblGrid>
      <w:tr>
        <w:trPr>
          <w:cantSplit/>
          <w:tblHeader/>
        </w:trPr>
        <w:tc>
          <w:tcPr>
            <w:tcW w:type="dxa" w:w="2721"/>
            <w:vAlign w:val="center"/>
            <w:shd w:fill="E8EEF3"/>
            <w:tcMar>
              <w:top w:w="95" w:type="dxa"/>
              <w:bottom w:w="95" w:type="dxa"/>
              <w:left w:w="110" w:type="dxa"/>
              <w:right w:w="110" w:type="dxa"/>
            </w:tcMar>
          </w:tcPr>
          <w:p>
            <w:pPr>
              <w:spacing w:after="0" w:line="280" w:lineRule="exact"/>
            </w:pPr>
            <w:r>
              <w:rPr>
                <w:b/>
                <w:sz w:val="19"/>
              </w:rPr>
            </w:r>
            <w:r>
              <w:rPr>
                <w:b/>
                <w:sz w:val="19"/>
              </w:rPr>
              <w:t>结果</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可以写</w:t>
            </w:r>
          </w:p>
        </w:tc>
        <w:tc>
          <w:tcPr>
            <w:tcW w:type="dxa" w:w="3458"/>
            <w:vAlign w:val="center"/>
            <w:shd w:fill="E8EEF3"/>
            <w:tcMar>
              <w:top w:w="95" w:type="dxa"/>
              <w:bottom w:w="95" w:type="dxa"/>
              <w:left w:w="110" w:type="dxa"/>
              <w:right w:w="110" w:type="dxa"/>
            </w:tcMar>
          </w:tcPr>
          <w:p>
            <w:pPr>
              <w:spacing w:after="0" w:line="280" w:lineRule="exact"/>
            </w:pPr>
            <w:r>
              <w:rPr>
                <w:b/>
                <w:sz w:val="19"/>
              </w:rPr>
            </w:r>
            <w:r>
              <w:rPr>
                <w:b/>
                <w:sz w:val="19"/>
              </w:rPr>
              <w:t>不可以写</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启动失败</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当前版本与配置不可用</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运行时吞吐劣化已复现</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M1没有外部完整复用</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路径或观测未完成，需要定位断点</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池化没收益所以理论不成立</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M2有成本，M3有收益</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两类负载下收益边界不同</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仅凭M2否定全部池化</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C/D退化，未跑A/B</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当前PP布局下组合退化</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PP交互已被证明</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新镜像变快，多项组件都换了</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新组合改善</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某一个PR是唯一根因</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单点修正加回退闭环</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该变更对已测异常有因果贡献</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所有环境的问题均解决</w:t>
            </w:r>
          </w:p>
        </w:tc>
      </w:tr>
      <w:tr>
        <w:trPr>
          <w:cantSplit/>
        </w:trPr>
        <w:tc>
          <w:tcPr>
            <w:tcW w:type="dxa" w:w="2721"/>
            <w:vAlign w:val="center"/>
            <w:shd w:fill="FFFFFF"/>
            <w:tcMar>
              <w:top w:w="95" w:type="dxa"/>
              <w:bottom w:w="95" w:type="dxa"/>
              <w:left w:w="110" w:type="dxa"/>
              <w:right w:w="110" w:type="dxa"/>
            </w:tcMar>
          </w:tcPr>
          <w:p>
            <w:pPr>
              <w:spacing w:after="0" w:line="280" w:lineRule="exact"/>
            </w:pPr>
            <w:r>
              <w:rPr>
                <w:b w:val="0"/>
                <w:sz w:val="19"/>
              </w:rPr>
            </w:r>
            <w:r>
              <w:rPr>
                <w:b w:val="0"/>
                <w:sz w:val="19"/>
              </w:rPr>
              <w:t>只有单机或小模型结果</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已测子场景结论</w:t>
            </w:r>
          </w:p>
        </w:tc>
        <w:tc>
          <w:tcPr>
            <w:tcW w:type="dxa" w:w="3458"/>
            <w:vAlign w:val="center"/>
            <w:shd w:fill="FFFFFF"/>
            <w:tcMar>
              <w:top w:w="95" w:type="dxa"/>
              <w:bottom w:w="95" w:type="dxa"/>
              <w:left w:w="110" w:type="dxa"/>
              <w:right w:w="110" w:type="dxa"/>
            </w:tcMar>
          </w:tcPr>
          <w:p>
            <w:pPr>
              <w:spacing w:after="0" w:line="280" w:lineRule="exact"/>
            </w:pPr>
            <w:r>
              <w:rPr>
                <w:b w:val="0"/>
                <w:sz w:val="19"/>
              </w:rPr>
            </w:r>
            <w:r>
              <w:rPr>
                <w:b w:val="0"/>
                <w:sz w:val="19"/>
              </w:rPr>
              <w:t>客户GLM跨节点性能已验证</w:t>
            </w:r>
          </w:p>
        </w:tc>
      </w:tr>
    </w:tbl>
    <w:p>
      <w:pPr>
        <w:spacing w:after="40" w:line="40" w:lineRule="exact"/>
      </w:pPr>
      <w:r>
        <w:rPr>
          <w:sz w:val="4"/>
        </w:rPr>
      </w:r>
    </w:p>
    <w:p>
      <w:r>
        <w:rPr>
          <w:b/>
        </w:rPr>
        <w:t>停止标准：</w:t>
      </w:r>
      <w:r>
        <w:rPr>
          <w:b w:val="0"/>
        </w:rPr>
        <w:t>已形成明确故障闭环并满足业务验收，就不再扩展无关扫描。差异小于当前测量分辨能力时写“未分辨”；未复现时只追加最相关现场差异，不用一句“理论上兼容”替代实证。</w:t>
      </w:r>
    </w:p>
    <w:p>
      <w:pPr>
        <w:pStyle w:val="Heading1"/>
        <w:pageBreakBefore/>
      </w:pPr>
      <w:r>
        <w:t>附录一 名词速查</w:t>
      </w:r>
    </w:p>
    <w:p>
      <w:r>
        <w:rPr>
          <w:b w:val="0"/>
        </w:rPr>
        <w:t>核心概念已在上文解释；下表用于阅读配置、日志和源码时查找缩写，不要求第一次就背下来。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402"/>
        <w:gridCol w:w="3742"/>
      </w:tblGrid>
      <w:tr>
        <w:trPr>
          <w:cantSplit/>
          <w:tblHeader/>
        </w:trPr>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术语</w:t>
            </w:r>
          </w:p>
        </w:tc>
        <w:tc>
          <w:tcPr>
            <w:tcW w:type="dxa" w:w="3402"/>
            <w:vAlign w:val="center"/>
            <w:shd w:fill="E8EEF3"/>
            <w:tcMar>
              <w:top w:w="95" w:type="dxa"/>
              <w:bottom w:w="95" w:type="dxa"/>
              <w:left w:w="110" w:type="dxa"/>
              <w:right w:w="110" w:type="dxa"/>
            </w:tcMar>
          </w:tcPr>
          <w:p>
            <w:pPr>
              <w:spacing w:after="0" w:line="280" w:lineRule="exact"/>
            </w:pPr>
            <w:r>
              <w:rPr>
                <w:b/>
                <w:sz w:val="19"/>
              </w:rPr>
            </w:r>
            <w:r>
              <w:rPr>
                <w:b/>
                <w:sz w:val="19"/>
              </w:rPr>
              <w:t>全称或中文</w:t>
            </w:r>
          </w:p>
        </w:tc>
        <w:tc>
          <w:tcPr>
            <w:tcW w:type="dxa" w:w="3742"/>
            <w:vAlign w:val="center"/>
            <w:shd w:fill="E8EEF3"/>
            <w:tcMar>
              <w:top w:w="95" w:type="dxa"/>
              <w:bottom w:w="95" w:type="dxa"/>
              <w:left w:w="110" w:type="dxa"/>
              <w:right w:w="110" w:type="dxa"/>
            </w:tcMar>
          </w:tcPr>
          <w:p>
            <w:pPr>
              <w:spacing w:after="0" w:line="280" w:lineRule="exact"/>
            </w:pPr>
            <w:r>
              <w:rPr>
                <w:b/>
                <w:sz w:val="19"/>
              </w:rPr>
            </w:r>
            <w:r>
              <w:rPr>
                <w:b/>
                <w:sz w:val="19"/>
              </w:rPr>
              <w:t>本次阅读时记住什么</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LLM</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Large Language Model，大语言模型</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本次服务的 GLM 系列模型属于此类</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prompt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提示输入</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包括系统提示、历史和当前问题，不仅是最后一句</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tokenizer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分词器</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决定文本如何转为 token</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checkpoint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模型权重检查点/文件集</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必须固定具体模型、权重和量化版本</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w8a8</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常见的权重 8 位、激活 8 位表示</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实际算子及例外以量化实现为准</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batch</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批次</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同一执行步骤合并处理的请求或 token 集合</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scheduler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调度器</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决定哪些请求何时执行、分配哪些 KV 块</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worker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工作进程</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负责设备上的部分执行职责，不直接等同一张物理卡</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PP stage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流水线阶段</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本阶段持有自己负责层范围的模型和 KV</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layer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模型层</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PP 通常按层分配，但具体范围要核对</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group</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通信组</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TP、PP 等各有自己的成员范围</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broadcast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广播</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一个组内的源进程把信息发给组内其他进程</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gather / scatter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收集 / 分散写入</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需确认发生在哪一层，不预设全模型 KV 必须 gather</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all-reduce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集合规约通信</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多个参与者共同汇总数据，常见于并行计算</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MoE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Mixture of Experts，混合专家</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EP 主要针对专家分配，不等于 PP</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MLA</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Multi-head Latent Attention，多头潜在注意力</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KV 结构可能不同，first-rank 优化需按实际路径审查</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MTP</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Multi-Token Prediction，多 token 预测</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可能参与投机解码或相关优化，须固定模型和配置</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speculative decoding</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投机解码</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提议多个 token 并验证，影响输出事件与 ITL 解释</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APC</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Automatic Prefix Caching，自动前缀缓存</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先辨认是否为本地实例内的复用</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KVC</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KV Cache 的简写</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KVC 亲和是缓存相关路由策略</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eviction</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缓存淘汰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空间紧张或策略触发时移出条目</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namespace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命名空间</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隔离测试条目、减少缓存残留干扰的逻辑范围</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producer / consumer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生产者 / 消费者</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谁产生 KV、谁读取 KV；不同 connector 语义需核实</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kv_both</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KV 角色的一类配置取值</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通常表示可保存也可加载，不自动开启跨实例路径</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first-rank / passive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首 rank / 被动 worker</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判断首 rank 的范围和被动进程实际职责，而非只看名称</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layerwise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按层处理</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某条缓存存取方式，不是 PP 的同义词</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PUT / GET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写入 / 读取</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分开计时和统计字节，不只关注读取</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lookup</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缓存索引查找</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与完成数据加载不是同一事件</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publish</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发布为可见或可复用</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实际系统是否有独立事件，需查实现</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staging buffer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暂存缓冲区</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搬运中的中间存储，可能带来拷贝与复用等待</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barrier / synchronization</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屏障 / 同步</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等待满足执行条件，可能影响关键路径</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async</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asynchronous，异步</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提交后可继续其他工作，不代表操作已经完成</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fallback / recompute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回退 / 重算</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缓存失败后可能依靠重算维持请求正确性</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HCCL</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Huawei Collective Communication Library，华为集合通信库</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同 HIXL、RDMA 不是可随意互换的同层名词</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RDMA</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Remote Direct Memory Access，远程直接内存访问</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一类数据访问技术；使用它仍有注册、连接和同步成本</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RoCE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RDMA over Converged Ethernet，融合以太网 RDMA</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网络环境的一类实现，不等于共享缓存系统</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CANN</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Compute Architecture for Neural Networks，昇腾计算软件栈</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记录实际版本及与运行组件的匹配关系</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torch_npu</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PyTorch 的昇腾设备扩展</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属于软件版本链的一部分</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profile / profiler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性能采样或跟踪 / 分析工具</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先确认真实采集到需要的事件，不能凭工具安装推断</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trace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事件轨迹</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带时间戳与关联标识的执行事件记录</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NVTX</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NVIDIA Tools Extension，一类标记接口</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代码有标记不保证昇腾工具自动呈现完整分段</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msprof</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昇腾性能分析工具之一</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以目标环境可用性和实际输出为准</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request_id</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请求标识</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将 proxy、P、缓存、D 的事件关联到同一请求</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timestamp / duration</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时间戳 / 时长</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跨机器时间戳需要校时，单机耗时宜使用可靠计时源</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PLOG</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昇腾运行相关日志类别</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查设备或通信异常，具体路径取现场配置</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warm-up</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预热</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可指模型算子预热，也可指缓存预热，必须分开记录</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steady state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稳态</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启动和预热后相对稳定的测量阶段</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commit / tag</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提交 / 版本标记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用于固定源码证据，分支名本身不足以唯一定位代码</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PR / issue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代码变更请求 / 问题记录</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提供代码与讨论证据，不能替代客户复现</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confidence interval</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置信区间</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用于表达估计的不确定性；其方法与假设也要说明</w:t>
            </w:r>
          </w:p>
        </w:tc>
      </w:tr>
    </w:tbl>
    <w:p>
      <w:pPr>
        <w:spacing w:after="40" w:line="40" w:lineRule="exact"/>
      </w:pPr>
      <w:r>
        <w:rPr>
          <w:sz w:val="4"/>
        </w:rPr>
      </w:r>
    </w:p>
    <w:p>
      <w:pPr>
        <w:pStyle w:val="Heading2"/>
      </w:pPr>
      <w:r>
        <w:t>操作和阅读日志时还会遇到的词</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402"/>
        <w:gridCol w:w="3742"/>
      </w:tblGrid>
      <w:tr>
        <w:trPr>
          <w:cantSplit/>
          <w:tblHeader/>
        </w:trPr>
        <w:tc>
          <w:tcPr>
            <w:tcW w:type="dxa" w:w="2494"/>
            <w:vAlign w:val="center"/>
            <w:shd w:fill="E8EEF3"/>
            <w:tcMar>
              <w:top w:w="95" w:type="dxa"/>
              <w:bottom w:w="95" w:type="dxa"/>
              <w:left w:w="110" w:type="dxa"/>
              <w:right w:w="110" w:type="dxa"/>
            </w:tcMar>
          </w:tcPr>
          <w:p>
            <w:pPr>
              <w:spacing w:after="0" w:line="280" w:lineRule="exact"/>
            </w:pPr>
            <w:r>
              <w:rPr>
                <w:b/>
                <w:sz w:val="19"/>
              </w:rPr>
            </w:r>
            <w:r>
              <w:rPr>
                <w:b/>
                <w:sz w:val="19"/>
              </w:rPr>
              <w:t>术语</w:t>
            </w:r>
          </w:p>
        </w:tc>
        <w:tc>
          <w:tcPr>
            <w:tcW w:type="dxa" w:w="3402"/>
            <w:vAlign w:val="center"/>
            <w:shd w:fill="E8EEF3"/>
            <w:tcMar>
              <w:top w:w="95" w:type="dxa"/>
              <w:bottom w:w="95" w:type="dxa"/>
              <w:left w:w="110" w:type="dxa"/>
              <w:right w:w="110" w:type="dxa"/>
            </w:tcMar>
          </w:tcPr>
          <w:p>
            <w:pPr>
              <w:spacing w:after="0" w:line="280" w:lineRule="exact"/>
            </w:pPr>
            <w:r>
              <w:rPr>
                <w:b/>
                <w:sz w:val="19"/>
              </w:rPr>
            </w:r>
            <w:r>
              <w:rPr>
                <w:b/>
                <w:sz w:val="19"/>
              </w:rPr>
              <w:t>中文或全称</w:t>
            </w:r>
          </w:p>
        </w:tc>
        <w:tc>
          <w:tcPr>
            <w:tcW w:type="dxa" w:w="3742"/>
            <w:vAlign w:val="center"/>
            <w:shd w:fill="E8EEF3"/>
            <w:tcMar>
              <w:top w:w="95" w:type="dxa"/>
              <w:bottom w:w="95" w:type="dxa"/>
              <w:left w:w="110" w:type="dxa"/>
              <w:right w:w="110" w:type="dxa"/>
            </w:tcMar>
          </w:tcPr>
          <w:p>
            <w:pPr>
              <w:spacing w:after="0" w:line="280" w:lineRule="exact"/>
            </w:pPr>
            <w:r>
              <w:rPr>
                <w:b/>
                <w:sz w:val="19"/>
              </w:rPr>
            </w:r>
            <w:r>
              <w:rPr>
                <w:b/>
                <w:sz w:val="19"/>
              </w:rPr>
              <w:t>使用时注意什么</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CPU与NPU</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中央处理器与神经网络处理器</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主机调度和设备计算分工不同；运行命令的机器不一定是模型设备</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HBM与DDR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高带宽内存与常见主机内存技术</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文档中的Host缓存一般指主机内存；不要把容量直接当传输性能</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HCCS</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昇腾设备互联相关技术</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与HCCL通信库、HIXL软件和RDMA技术属于不同层次，按现场链路记录</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PCP与DCP</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Prefill Context Parallel与Decode Context Parallel，上下文并行</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沿序列等维度分担工作；不是PP按模型层切分</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graph与kernel</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图执行与设备计算内核</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首次编译、捕获或加载可能带来启动成本，需独立模型热身</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dtype与metadata</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数据类型与元数据</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前者影响数据表示和字节数，后者记录地址、层范围及布局等信息</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cache group与cache family</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缓存组与缓存类别</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实现区分不同缓存结构的维度，不等于一个用户请求</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ACL与VMM</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昇腾运行时API及虚拟内存管理相关接口</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影响内存分配、地址映射与注册；不是缓存命中算法</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ADXL</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相关传输实现所用的软件接口名称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与HIXL及具体后端的关系以版本和初始化日志为准，不按名称推断</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API与HTTP</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程序接口与网页服务常用请求协议</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客户端向地址发请求；返回200不保证缓存收益或输出正确性</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URL与端口</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服务地址与同一地址下的服务编号</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localhost或127.0.0.1只指当前执行命令的机器</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SSE与流式输出</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Server Sent Events，逐事件返回响应</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首事件可能为空；事件数不等于token数</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JSON与JSONL</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对象数据格式与每行一个JSON对象的文本文件</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本指南custom数据是一行一条请求，不是外层数组</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CSV</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逗号分隔的表格文本</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可用Excel打开；空表字段不是服务现成自动采集值</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Bash与PowerShell</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Linux常用终端语言与Windows终端语言</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指南的服务命令为Bash，不能直接粘贴到PowerShell执行</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容器与镜像</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隔离运行环境与其打包模板</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相同名称的镜像可能被更新，需记录实际镜像标识和组件版本</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环境变量</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进程启动时读取的配置值</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修改终端变量不表示已运行服务自动生效；以实际配置和日志为准</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Prometheus指标</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常见文本格式的监控指标</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/metrics端点可能在各实例，proxy未必转发</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counter</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单调累计计数器</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用同标签前后差；重启归零后不能直接相减</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gauge</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当前状态量</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观察轮内变化或峰值，前后差不是累计发生量</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histogram</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按区间累计的分布</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sum除count可得该操作均值；分桶也影响分位估计精度</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label与delta</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指标标签与增量</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按同实例、模型、引擎维度比较，防止把不同计数混合</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SLO goodput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满足服务目标的有效完成速率</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与单纯完成吞吐不同，超时或不达标请求不能算达标</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EOS</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End Of Sequence，生成结束标记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ignore-eos用于强制长度的诊断，不代表真实用户输出规则</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seed</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随机种子</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有助复现输入或生成，但不保证分布式计算完全确定</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NA</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不可用或没有采到</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不等于0；缺指标不能写为零错误或零耗时</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diff与patch</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变更差异与补丁</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用于证明只改预定项；完整镜像升级不等于单点修正</w:t>
            </w:r>
          </w:p>
        </w:tc>
      </w:tr>
      <w:tr>
        <w:trPr>
          <w:cantSplit/>
        </w:trPr>
        <w:tc>
          <w:tcPr>
            <w:tcW w:type="dxa" w:w="2494"/>
            <w:vAlign w:val="center"/>
            <w:shd w:fill="FFFFFF"/>
            <w:tcMar>
              <w:top w:w="95" w:type="dxa"/>
              <w:bottom w:w="95" w:type="dxa"/>
              <w:left w:w="110" w:type="dxa"/>
              <w:right w:w="110" w:type="dxa"/>
            </w:tcMar>
          </w:tcPr>
          <w:p>
            <w:pPr>
              <w:spacing w:after="0" w:line="280" w:lineRule="exact"/>
            </w:pPr>
            <w:r>
              <w:rPr>
                <w:b w:val="0"/>
                <w:sz w:val="19"/>
              </w:rPr>
            </w:r>
            <w:r>
              <w:rPr>
                <w:b w:val="0"/>
                <w:sz w:val="19"/>
              </w:rPr>
              <w:t>UT</w:t>
            </w:r>
          </w:p>
        </w:tc>
        <w:tc>
          <w:tcPr>
            <w:tcW w:type="dxa" w:w="3402"/>
            <w:vAlign w:val="center"/>
            <w:shd w:fill="FFFFFF"/>
            <w:tcMar>
              <w:top w:w="95" w:type="dxa"/>
              <w:bottom w:w="95" w:type="dxa"/>
              <w:left w:w="110" w:type="dxa"/>
              <w:right w:w="110" w:type="dxa"/>
            </w:tcMar>
          </w:tcPr>
          <w:p>
            <w:pPr>
              <w:spacing w:after="0" w:line="280" w:lineRule="exact"/>
            </w:pPr>
            <w:r>
              <w:rPr>
                <w:b w:val="0"/>
                <w:sz w:val="19"/>
              </w:rPr>
            </w:r>
            <w:r>
              <w:rPr>
                <w:b w:val="0"/>
                <w:sz w:val="19"/>
              </w:rPr>
              <w:t>Unit Test，单元测试</w:t>
            </w:r>
          </w:p>
        </w:tc>
        <w:tc>
          <w:tcPr>
            <w:tcW w:type="dxa" w:w="3742"/>
            <w:vAlign w:val="center"/>
            <w:shd w:fill="FFFFFF"/>
            <w:tcMar>
              <w:top w:w="95" w:type="dxa"/>
              <w:bottom w:w="95" w:type="dxa"/>
              <w:left w:w="110" w:type="dxa"/>
              <w:right w:w="110" w:type="dxa"/>
            </w:tcMar>
          </w:tcPr>
          <w:p>
            <w:pPr>
              <w:spacing w:after="0" w:line="280" w:lineRule="exact"/>
            </w:pPr>
            <w:r>
              <w:rPr>
                <w:b w:val="0"/>
                <w:sz w:val="19"/>
              </w:rPr>
            </w:r>
            <w:r>
              <w:rPr>
                <w:b w:val="0"/>
                <w:sz w:val="19"/>
              </w:rPr>
              <w:t>通过不能代替NPU通信、模型正确性和业务性能测试</w:t>
            </w:r>
          </w:p>
        </w:tc>
      </w:tr>
    </w:tbl>
    <w:p>
      <w:pPr>
        <w:spacing w:after="40" w:line="40" w:lineRule="exact"/>
      </w:pPr>
      <w:r>
        <w:rPr>
          <w:sz w:val="4"/>
        </w:rPr>
      </w:r>
    </w:p>
    <w:p>
      <w:pPr>
        <w:pStyle w:val="Heading1"/>
        <w:pageBreakBefore/>
      </w:pPr>
      <w:r>
        <w:t>附录二 先做自查</w:t>
      </w:r>
    </w:p>
    <w:p>
      <w:pPr>
        <w:ind w:left="255" w:hanging="255"/>
      </w:pPr>
      <w:r>
        <w:rPr>
          <w:b w:val="0"/>
        </w:rPr>
        <w:t>1. 一套部署写“2P1D、P 侧 PP2”。这里的两个“2”分别数什么？</w:t>
      </w:r>
    </w:p>
    <w:p>
      <w:pPr>
        <w:ind w:left="255" w:hanging="255"/>
      </w:pPr>
      <w:r>
        <w:rPr>
          <w:b w:val="0"/>
        </w:rPr>
        <w:t>2. 两次请求都路由到 P1，第二次很快。能否直接确认跨实例共享缓存有效？还缺哪条证据？</w:t>
      </w:r>
    </w:p>
    <w:p>
      <w:pPr>
        <w:ind w:left="255" w:hanging="255"/>
      </w:pPr>
      <w:r>
        <w:rPr>
          <w:b w:val="0"/>
        </w:rPr>
        <w:t>3. lookup 返回命中 3,000 token，但实际只少算 1,000 token。评估计算收益应使用哪个数字？其余部分需要查什么？</w:t>
      </w:r>
    </w:p>
    <w:p>
      <w:pPr>
        <w:ind w:left="255" w:hanging="255"/>
      </w:pPr>
      <w:r>
        <w:rPr>
          <w:b w:val="0"/>
        </w:rPr>
        <w:t>4. PP2、TP2 示例中有两个 TP 组。每个组的 rank 0 是否一定是 global rank 0？</w:t>
      </w:r>
    </w:p>
    <w:p>
      <w:pPr>
        <w:ind w:left="255" w:hanging="255"/>
      </w:pPr>
      <w:r>
        <w:rPr>
          <w:b w:val="0"/>
        </w:rPr>
        <w:t>5. PUT 提交只用了 0.1 ms，但下一步等待缓冲区 20 ms。能否说保存成本只有 0.1 ms？</w:t>
      </w:r>
    </w:p>
    <w:p>
      <w:pPr>
        <w:ind w:left="255" w:hanging="255"/>
      </w:pPr>
      <w:r>
        <w:rPr>
          <w:b w:val="0"/>
        </w:rPr>
        <w:t>6. A＝100、B＝80、C＝120、D＝115 ms。缓存是否让 PP 配置变慢？它在两种布局中的收益是否相同？</w:t>
      </w:r>
    </w:p>
    <w:p>
      <w:pPr>
        <w:ind w:left="255" w:hanging="255"/>
      </w:pPr>
      <w:r>
        <w:rPr>
          <w:b w:val="0"/>
        </w:rPr>
        <w:t>7. 脚本设置每秒 0.3 个请求且服务始终不排队，测到的完成吞吐能否直接称为系统最大能力？</w:t>
      </w:r>
    </w:p>
    <w:p>
      <w:pPr>
        <w:ind w:left="255" w:hanging="255"/>
      </w:pPr>
      <w:r>
        <w:rPr>
          <w:b w:val="0"/>
        </w:rPr>
        <w:t>8. 换新镜像的同时将 DP2 改成 DP1、加上 PP2，并调整输入长度，性能改善。能否直接确认某个 PP 补丁已修复根因？</w:t>
      </w:r>
    </w:p>
    <w:p>
      <w:pPr>
        <w:pStyle w:val="Heading1"/>
        <w:pageBreakBefore/>
      </w:pPr>
      <w:r>
        <w:t>附录三 自查答案</w:t>
      </w:r>
    </w:p>
    <w:p>
      <w:pPr>
        <w:ind w:left="255" w:hanging="255"/>
      </w:pPr>
      <w:r>
        <w:rPr>
          <w:b w:val="0"/>
        </w:rPr>
        <w:t>1. 2P1D 的 2 是 P 服务组或副本数量；PP2 的 2 是一个模型实例内部的流水线阶段数。</w:t>
      </w:r>
    </w:p>
    <w:p>
      <w:pPr>
        <w:ind w:left="255" w:hanging="255"/>
      </w:pPr>
      <w:r>
        <w:rPr>
          <w:b w:val="0"/>
        </w:rPr>
        <w:t>2. 不能，可能只是 P1 本地 APC 命中。需要证明目标请求由缺少本地条目的另一个实例处理，并实际从共享池加载且有效少算。</w:t>
      </w:r>
    </w:p>
    <w:p>
      <w:pPr>
        <w:ind w:left="255" w:hanging="255"/>
      </w:pPr>
      <w:r>
        <w:rPr>
          <w:b w:val="0"/>
        </w:rPr>
        <w:t>3. 使用已证实归因于外部缓存的实际少算部分评估收益。继续核对块对齐、阶段完整性、加载失败、写回、回退及调度是否采用命中结果。</w:t>
      </w:r>
    </w:p>
    <w:p>
      <w:pPr>
        <w:ind w:left="255" w:hanging="255"/>
      </w:pPr>
      <w:r>
        <w:rPr>
          <w:b w:val="0"/>
        </w:rPr>
        <w:t>4. 不一定。每个 TP 组有自己的组内 rank 0；全局 rank 0 只有一个。必须核对映射和广播范围。</w:t>
      </w:r>
    </w:p>
    <w:p>
      <w:pPr>
        <w:ind w:left="255" w:hanging="255"/>
      </w:pPr>
      <w:r>
        <w:rPr>
          <w:b w:val="0"/>
        </w:rPr>
        <w:t>5. 不能。异步提交不是完成，缓冲重用等待可能把保存成本转移到下一步，应看完整生命周期和关键路径。</w:t>
      </w:r>
    </w:p>
    <w:p>
      <w:pPr>
        <w:ind w:left="255" w:hanging="255"/>
      </w:pPr>
      <w:r>
        <w:rPr>
          <w:b w:val="0"/>
        </w:rPr>
        <w:t>6. 缓存让 PP 配置从 120 ms 变为 115 ms，仍改善 5 ms；无 PP 时改善 20 ms，收益不同。交互项 15 ms，不能改写为 PP 下开缓存增加 15 ms。</w:t>
      </w:r>
    </w:p>
    <w:p>
      <w:pPr>
        <w:ind w:left="255" w:hanging="255"/>
      </w:pPr>
      <w:r>
        <w:rPr>
          <w:b w:val="0"/>
        </w:rPr>
        <w:t>7. 不能。它主要反映该发送负载下的服务表现，需要在明确负载与 SLO 下探索容量才能谈最大能力。</w:t>
      </w:r>
    </w:p>
    <w:p>
      <w:pPr>
        <w:ind w:left="255" w:hanging="255"/>
      </w:pPr>
      <w:r>
        <w:rPr>
          <w:b w:val="0"/>
        </w:rPr>
        <w:t>8. 不能。多个因素同时变化，只能暂时说明新部署的结果不同；需做针对候选原因的受控对照并连接异常与业务指标。</w:t>
      </w:r>
    </w:p>
    <w:p>
      <w:pPr>
        <w:pStyle w:val="Heading1"/>
        <w:pageBreakBefore/>
      </w:pPr>
      <w:r>
        <w:t>实验材料和来源</w:t>
      </w:r>
    </w:p>
    <w:p>
      <w:r>
        <w:rPr>
          <w:b w:val="0"/>
        </w:rPr>
        <w:t>本指南与《KS问题最终分析结论 零基础增补版》配套，但已经包含独立阅读所需的基础知识。原始客户脚本和NPU环境尚未在本工作区实测；命令、日志和指标已分别按官方源码核对，实际执行前需映射现场版本。</w:t>
      </w:r>
    </w:p>
    <w:p>
      <w:r>
        <w:rPr>
          <w:b w:val="0"/>
        </w:rPr>
        <w:t>主要证据包括当前vllm-ascend提交4ebb3090fc3c、Mooncake提交0d1a8040faeb、vLLM 0.18提交bcf2be961200，以及此前报告中固定的LMCache版本。并列核对不同仓库不表示这些版本已被本次组成一套兼容运行环境。</w:t>
      </w:r>
    </w:p>
    <w:p>
      <w:pPr>
        <w:ind w:left="170" w:hanging="170"/>
      </w:pPr>
      <w:r>
        <w:rPr>
          <w:b w:val="0"/>
        </w:rPr>
        <w:t xml:space="preserve">• </w:t>
      </w:r>
      <w:hyperlink r:id="rId17">
        <w:r>
          <w:rPr>
            <w:color w:val="245D80"/>
            <w:rFonts w:ascii="Microsoft YaHei" w:eastAsia="Microsoft YaHei"/>
          </w:rPr>
          <w:t>vLLM 0.18压测参数与结果保存</w:t>
        </w:r>
      </w:hyperlink>
    </w:p>
    <w:p>
      <w:pPr>
        <w:ind w:left="170" w:hanging="170"/>
      </w:pPr>
      <w:r>
        <w:rPr>
          <w:b w:val="0"/>
        </w:rPr>
        <w:t xml:space="preserve">• </w:t>
      </w:r>
      <w:hyperlink r:id="rId11">
        <w:r>
          <w:rPr>
            <w:color w:val="245D80"/>
            <w:rFonts w:ascii="Microsoft YaHei" w:eastAsia="Microsoft YaHei"/>
          </w:rPr>
          <w:t>Custom输入格式</w:t>
        </w:r>
      </w:hyperlink>
    </w:p>
    <w:p>
      <w:pPr>
        <w:ind w:left="170" w:hanging="170"/>
      </w:pPr>
      <w:r>
        <w:rPr>
          <w:b w:val="0"/>
        </w:rPr>
        <w:t xml:space="preserve">• </w:t>
      </w:r>
      <w:hyperlink r:id="rId18">
        <w:r>
          <w:rPr>
            <w:color w:val="245D80"/>
            <w:rFonts w:ascii="Microsoft YaHei" w:eastAsia="Microsoft YaHei"/>
          </w:rPr>
          <w:t>AscendStore保存等待日志</w:t>
        </w:r>
      </w:hyperlink>
    </w:p>
    <w:p>
      <w:pPr>
        <w:ind w:left="170" w:hanging="170"/>
      </w:pPr>
      <w:r>
        <w:rPr>
          <w:b w:val="0"/>
        </w:rPr>
        <w:t xml:space="preserve">• </w:t>
      </w:r>
      <w:hyperlink r:id="rId19">
        <w:r>
          <w:rPr>
            <w:color w:val="245D80"/>
            <w:rFonts w:ascii="Microsoft YaHei" w:eastAsia="Microsoft YaHei"/>
          </w:rPr>
          <w:t>PP保存同步修复15636</w:t>
        </w:r>
      </w:hyperlink>
    </w:p>
    <w:p>
      <w:pPr>
        <w:ind w:left="170" w:hanging="170"/>
      </w:pPr>
      <w:r>
        <w:rPr>
          <w:b w:val="0"/>
        </w:rPr>
        <w:t xml:space="preserve">• </w:t>
      </w:r>
      <w:hyperlink r:id="rId20">
        <w:r>
          <w:rPr>
            <w:color w:val="245D80"/>
            <w:rFonts w:ascii="Microsoft YaHei" w:eastAsia="Microsoft YaHei"/>
          </w:rPr>
          <w:t>相似写池故障11478</w:t>
        </w:r>
      </w:hyperlink>
    </w:p>
    <w:p>
      <w:r>
        <w:rPr>
          <w:b w:val="0"/>
        </w:rPr>
        <w:t>工作区research目录保留最少用例审查、操作与观测源码审查、基础知识草稿。实验附件中的生成器和空表已作本地文件级检查；没有把这种检查当成昇腾、模型正确性或客户性能验证。</w:t>
      </w:r>
    </w:p>
    <w:sectPr w:rsidR="00FC693F" w:rsidRPr="0006063C" w:rsidSect="00034616">
      <w:footerReference w:type="default" r:id="rId21"/>
      <w:pgSz w:w="11906" w:h="16838"/>
      <w:pgMar w:top="1049" w:right="1134" w:bottom="1020"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snapToGrid w:val="0"/>
    </w:pPr>
    <w:rPr>
      <w:rFonts w:ascii="Microsoft YaHei" w:hAnsi="Microsoft YaHei" w:eastAsia="Microsoft YaHe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435" w:lineRule="exact"/>
      <w:outlineLvl w:val="0"/>
      <w:snapToGrid w:val="0"/>
    </w:pPr>
    <w:rPr>
      <w:rFonts w:asciiTheme="majorHAnsi" w:eastAsiaTheme="majorEastAsia" w:hAnsiTheme="majorHAnsi" w:cstheme="majorBidi" w:ascii="Microsoft YaHei" w:hAnsi="Microsoft YaHei" w:eastAsia="Microsoft YaHei"/>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line="333" w:lineRule="exact"/>
      <w:outlineLvl w:val="1"/>
      <w:snapToGrid w:val="0"/>
    </w:pPr>
    <w:rPr>
      <w:rFonts w:asciiTheme="majorHAnsi" w:eastAsiaTheme="majorEastAsia" w:hAnsiTheme="majorHAnsi" w:cstheme="majorBidi" w:ascii="Microsoft YaHei" w:hAnsi="Microsoft YaHei" w:eastAsia="Microsoft YaHei"/>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667" w:lineRule="exact"/>
      <w:contextualSpacing/>
      <w:snapToGrid w:val="0"/>
    </w:pPr>
    <w:rPr>
      <w:rFonts w:asciiTheme="majorHAnsi" w:eastAsiaTheme="majorEastAsia" w:hAnsiTheme="majorHAnsi" w:cstheme="majorBidi" w:ascii="Microsoft YaHei" w:hAnsi="Microsoft YaHei" w:eastAsia="Microsoft YaHei"/>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90" w:lineRule="exact" w:after="120"/>
      <w:snapToGrid w:val="0"/>
    </w:pPr>
    <w:rPr>
      <w:rFonts w:asciiTheme="majorHAnsi" w:eastAsiaTheme="majorEastAsia" w:hAnsiTheme="majorHAnsi" w:cstheme="majorBidi" w:ascii="Microsoft YaHei" w:hAnsi="Microsoft YaHei" w:eastAsia="Microsoft YaHei"/>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llm-project/vllm/blob/bcf2be96120005e9aea171927f85055a6a5c0cf6/vllm/entrypoints/serve/instrumentator/__init__.py#L24-L28" TargetMode="External"/><Relationship Id="rId10" Type="http://schemas.openxmlformats.org/officeDocument/2006/relationships/hyperlink" Target="https://github.com/vllm-project/vllm-ascend/blob/4ebb3090fc3c13c26557dcaae353882e70246649/docs/source/user_guide/feature_guide/kv_pool.md#L166-L168" TargetMode="External"/><Relationship Id="rId11" Type="http://schemas.openxmlformats.org/officeDocument/2006/relationships/hyperlink" Target="https://github.com/vllm-project/vllm/blob/bcf2be96120005e9aea171927f85055a6a5c0cf6/vllm/benchmarks/datasets.py#L1894-L2007" TargetMode="External"/><Relationship Id="rId12" Type="http://schemas.openxmlformats.org/officeDocument/2006/relationships/hyperlink" Target="https://github.com/vllm-project/vllm/blob/bcf2be96120005e9aea171927f85055a6a5c0cf6/vllm/benchmarks/lib/endpoint_request_func.py#L262-L333" TargetMode="External"/><Relationship Id="rId13" Type="http://schemas.openxmlformats.org/officeDocument/2006/relationships/hyperlink" Target="https://www.itl.nist.gov/div898/handbook/pri/section5/pri594.htm" TargetMode="External"/><Relationship Id="rId14" Type="http://schemas.openxmlformats.org/officeDocument/2006/relationships/hyperlink" Target="https://github.com/vllm-project/vllm-ascend/blob/4ebb3090fc3c13c26557dcaae353882e70246649/vllm_ascend/distributed/kv_transfer/kv_pool/ascend_store/metrics.py#L82-L128" TargetMode="External"/><Relationship Id="rId15" Type="http://schemas.openxmlformats.org/officeDocument/2006/relationships/hyperlink" Target="https://github.com/vllm-project/vllm-ascend/blob/4ebb3090fc3c13c26557dcaae353882e70246649/vllm_ascend/distributed/kv_transfer/kv_pool/ascend_store/backend/mooncake_backend.py#L435-L511" TargetMode="External"/><Relationship Id="rId16" Type="http://schemas.openxmlformats.org/officeDocument/2006/relationships/hyperlink" Target="https://github.com/vllm-project/vllm-ascend/blob/4ebb3090fc3c13c26557dcaae353882e70246649/vllm_ascend/distributed/kv_transfer/kv_pool/ascend_store/kv_transfer.py#L1178-L1185" TargetMode="External"/><Relationship Id="rId17" Type="http://schemas.openxmlformats.org/officeDocument/2006/relationships/hyperlink" Target="https://github.com/vllm-project/vllm/blob/bcf2be96120005e9aea171927f85055a6a5c0cf6/vllm/benchmarks/serve.py#L1193-L1381" TargetMode="External"/><Relationship Id="rId18" Type="http://schemas.openxmlformats.org/officeDocument/2006/relationships/hyperlink" Target="https://github.com/vllm-project/vllm-ascend/blob/4ebb3090fc3c13c26557dcaae353882e70246649/vllm_ascend/distributed/kv_transfer/kv_pool/ascend_store/pool_worker.py#L2753-L2770" TargetMode="External"/><Relationship Id="rId19" Type="http://schemas.openxmlformats.org/officeDocument/2006/relationships/hyperlink" Target="https://github.com/vllm-project/vllm-ascend/pull/15636" TargetMode="External"/><Relationship Id="rId20" Type="http://schemas.openxmlformats.org/officeDocument/2006/relationships/hyperlink" Target="https://github.com/vllm-project/vllm-ascend/issues/11478"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KS最少用例实验操作指南 零基础版</dc:title>
  <dc:subject>KS池化与PP零基础分析和实验</dc:subject>
  <dc:creator/>
  <cp:keywords>KS,GLM,PP,KV,实验,零基础</cp:keywords>
  <dc:description>generated by python-docx</dc:description>
  <cp:lastModifiedBy/>
  <cp:revision>1</cp:revision>
  <dcterms:created xsi:type="dcterms:W3CDTF">2013-12-23T23:15:00Z</dcterms:created>
  <dcterms:modified xsi:type="dcterms:W3CDTF">2013-12-23T23:15:00Z</dcterms:modified>
  <cp:category/>
</cp:coreProperties>
</file>