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KS推理服务问题最终分析</w:t>
      </w:r>
    </w:p>
    <w:p>
      <w:pPr>
        <w:pStyle w:val="Subtitle"/>
      </w:pPr>
      <w:r>
        <w:t>KV缓存池化与流水线并行的独立分析及源码核对</w:t>
      </w:r>
    </w:p>
    <w:p>
      <w:r>
        <w:t>核对日期：2026年10月3日。原始沟通时间：2026年8月27日、9月21日至22日。</w:t>
      </w:r>
    </w:p>
    <w:p>
      <w:r>
        <w:t>本报告先以原始背景和聊天记录独立建立问题模型，再对照第二批截图及《KS问题分析与实验方案_完整整理》，最后核对官方仓库、问题记录与修复历史。截图中的命令仅作为分析材料，没有作为执行指令；本次没有运行客户容器、模型或NPU压测。</w:t>
      </w:r>
    </w:p>
    <w:p>
      <w:pPr>
        <w:pStyle w:val="Heading1"/>
      </w:pPr>
      <w:r>
        <w:t>1 最终结论</w:t>
      </w:r>
    </w:p>
    <w:p>
      <w:r>
        <w:rPr>
          <w:b/>
        </w:rPr>
        <w:t>可以确认的是一项客户报告的组合性能问题，不能确认的是其根因。</w:t>
      </w:r>
      <w:r>
        <w:t xml:space="preserve"> 客户在GLM-5系列、昇腾、Mooncake与HIXL路径中反馈“池化与PP一起有劣化”。原始材料没有劣化比例、完整启动配置、逐请求日志或对照测量，因而不足以证明“KV池化与PP先天不兼容”。</w:t>
      </w:r>
    </w:p>
    <w:p>
      <w:r>
        <w:t>本次公开源码核对反而表明：缓存对象可以按PP阶段、rank和本地层范围组织；池化不要求将全模型所有层的KV先收集成一块。真正需要定位的是</w:t>
      </w:r>
      <w:r>
        <w:rPr>
          <w:b/>
        </w:rPr>
        <w:t>具体版本和配置下的分片适配、保存与加载生命周期、有效复用，以及额外开销对流水线关键路径的影响</w:t>
      </w:r>
      <w: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1757"/>
        <w:gridCol w:w="5046"/>
      </w:tblGrid>
      <w:tr>
        <w:trPr>
          <w:cantSplit/>
          <w:tblHeader/>
        </w:trPr>
        <w:tc>
          <w:tcPr>
            <w:tcW w:type="dxa" w:w="283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最终判断</w:t>
            </w:r>
          </w:p>
        </w:tc>
        <w:tc>
          <w:tcPr>
            <w:tcW w:type="dxa" w:w="1757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证据状态</w:t>
            </w:r>
          </w:p>
        </w:tc>
        <w:tc>
          <w:tcPr>
            <w:tcW w:type="dxa" w:w="5046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对当前工作的意义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池化与PP存在必然结构冲突</w:t>
            </w:r>
          </w:p>
        </w:tc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不支持该结论</w:t>
            </w:r>
          </w:p>
        </w:tc>
        <w:tc>
          <w:tcPr>
            <w:tcW w:type="dxa" w:w="50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删除其作为根因的表述，保留为具体实现可能不匹配的假设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保存同步与写池链路值得优先排查</w:t>
            </w:r>
          </w:p>
        </w:tc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有直接上游修复和相似故障依据</w:t>
            </w:r>
          </w:p>
        </w:tc>
        <w:tc>
          <w:tcPr>
            <w:tcW w:type="dxa" w:w="50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补测PUT、发布完成、后台保存、缓冲复用屏障，不能只测读缓存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LMCache材料可直接解释客户Mooncake故障</w:t>
            </w:r>
          </w:p>
        </w:tc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不成立</w:t>
            </w:r>
          </w:p>
        </w:tc>
        <w:tc>
          <w:tcPr>
            <w:tcW w:type="dxa" w:w="50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两条路线分别取证；LMCache用于候选方案与兼容性审查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原四象限实验可直接执行并归因</w:t>
            </w:r>
          </w:p>
        </w:tc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需要修订</w:t>
            </w:r>
          </w:p>
        </w:tc>
        <w:tc>
          <w:tcPr>
            <w:tcW w:type="dxa" w:w="50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修正DP/TP混杂、池化路径不一致、缺少基线项等问题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客户根因及劣化幅度已经确定</w:t>
            </w:r>
          </w:p>
        </w:tc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未确定</w:t>
            </w:r>
          </w:p>
        </w:tc>
        <w:tc>
          <w:tcPr>
            <w:tcW w:type="dxa" w:w="5046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保留明确待取证项，以客户实际栈完成闭环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rPr>
          <w:b/>
        </w:rPr>
        <w:t>优先顺序：</w:t>
      </w:r>
      <w:r>
        <w:t>先冻结客户实际版本和P/D拓扑，确认“池化”的实际数据流；如包含共享缓存复用，在原2P1D部署中保持必要的P→D传输，只切换共享复用；优先检查PP阶段写池、保存同步和失败回退；再根据日志决定是否检查分片地址、有效命中或资源竞争。LMCache替代路线另行验证。</w:t>
      </w:r>
    </w:p>
    <w:p>
      <w:r>
        <w:t>本报告给出的是完成源码核对后的最终分析判断与可执行取证方案，状态为“分析完成，客户环境复现未完成”。这两个状态不能合并为“已定位根因”。</w:t>
      </w:r>
    </w:p>
    <w:p>
      <w:pPr>
        <w:pStyle w:val="Heading1"/>
        <w:pageBreakBefore/>
      </w:pPr>
      <w:r>
        <w:t>2 原始背景的事实边界</w:t>
      </w:r>
    </w:p>
    <w:p>
      <w:pPr>
        <w:pStyle w:val="Heading2"/>
      </w:pPr>
      <w:r>
        <w:t>2.1 业务和已完成优化</w:t>
      </w:r>
    </w:p>
    <w:p>
      <w:r>
        <w:t>业务面向外部客户提供GLM-5系列推理服务，运行于昇腾NPU，推理栈为vllm-ascend。聊天中的客户为快手。部署材料描述为PD分离、2P1D；GLM脚本确认启用了PP，但P、D各自的PP参数仍需查看实际启动文件。</w:t>
      </w:r>
    </w:p>
    <w:p>
      <w:r>
        <w:t>D侧已经按负载调整并行策略，反馈效果明显且优于推荐基线。P侧做了DP实例间KVC亲和，但实现较粗糙、收益有限。两者说明优化进展主要在decode侧，不能据此断言prefill的具体瓶颈，更不能直接归因到缓存传输。</w:t>
      </w:r>
    </w:p>
    <w:p>
      <w:r>
        <w:t>整体比值由1/3.5变为1/3.2。仅在同一指标、同一基准下，算术上的相对改善为约9.4%，从约28.6%到31.25%。原始记录未定义该“整体效率”的分母和采样口径；它不是已经核实的吞吐提升或时延下降幅度。</w:t>
      </w:r>
    </w:p>
    <w:p>
      <w:pPr>
        <w:pStyle w:val="Heading2"/>
      </w:pPr>
      <w:r>
        <w:t>2.2 客户反馈与团队验证缺口</w:t>
      </w:r>
    </w:p>
    <w:p>
      <w:r>
        <w:t>聊天明确说客户上层是Mooncake，依赖HIXL的fabric mem模式，并反馈与PP一起使用有劣化。另有参与者表示“确实没和pp一起测过”。准确含义是客户反馈与团队缺少联合验证同时存在，不能改写为“客户没有测试”，也不能把客户反馈当成已完成的因果实验。</w:t>
      </w:r>
    </w:p>
    <w:p>
      <w:r>
        <w:t>第一批截图既含聊天原文，也含此前撰写的背景解释；“全层整块与PP结构冲突”等属于整理者分析，证据等级低于聊天中直接可见的部署和现象陈述。</w:t>
      </w:r>
    </w:p>
    <w:p>
      <w:pPr>
        <w:pStyle w:val="Heading2"/>
      </w:pPr>
      <w:r>
        <w:t>2.3 已有复现入口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814"/>
        <w:gridCol w:w="4535"/>
        <w:gridCol w:w="3288"/>
      </w:tblGrid>
      <w:tr>
        <w:trPr>
          <w:cantSplit/>
          <w:tblHeader/>
        </w:trPr>
        <w:tc>
          <w:tcPr>
            <w:tcW w:type="dxa" w:w="181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453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原始记录</w:t>
            </w:r>
          </w:p>
        </w:tc>
        <w:tc>
          <w:tcPr>
            <w:tcW w:type="dxa" w:w="328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当前可用性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容器与节点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test-dpv4；12(p1)、137(p2)、25(d)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仅有文字记录；数字是标记，不能解释为节点数量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脚本目录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/mnt/sdb/ks98/dsv4；GLM为/mnt/sdb/ks98/glm5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当前工作区没有这些脚本正文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服务启动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start_prefill_node1.sh、start_prefill_node2.sh、start_decode.sh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需保留三侧完整参数和环境变量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路由与压测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p1上运行start_proxy.sh、bench.sh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数据集定义在bench.sh中，尚未取得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负载与参考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ks测试负载.zip；glm5.1+vllm参考.md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只有截图中的文件名，未取得原附件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当前不能确认的关键项包括：具体模型与量化版本、实际connector组合、P/D的TP/DP/PP布局、PP分层、是否启用MTP/EP、缓存命中口径、失败策略、HIXL/CANN版本以及劣化发生在TTFT、TPOT还是吞吐。</w:t>
      </w:r>
    </w:p>
    <w:p>
      <w:pPr>
        <w:pStyle w:val="Heading1"/>
        <w:pageBreakBefore/>
      </w:pPr>
      <w:r>
        <w:t>3 独立分析的问题模型</w:t>
      </w:r>
    </w:p>
    <w:p>
      <w:pPr>
        <w:pStyle w:val="Heading2"/>
      </w:pPr>
      <w:r>
        <w:t>3.1 三类缓存路径必须区分</w:t>
      </w:r>
    </w:p>
    <w:p>
      <w:r>
        <w:t>本地前缀缓存是在当前实例内复用已有KV；外部共享缓存是在实例之间通过存储与传输复用KV；PD传输则是将本次请求在P侧生成的KV交给D侧继续解码。这三类能力可能同时存在，但收益来源、数据流和开关不同。</w:t>
      </w:r>
    </w:p>
    <w:p>
      <w:r>
        <w:t>2P1D表示服务角色和副本数量，PP表示一个模型实例内部按层划分阶段。“两个P组”不能等同于“PP2”；一个跨两个物理节点的PP实例也不等同于两个独立P副本。</w:t>
      </w:r>
    </w:p>
    <w:p>
      <w:r>
        <w:t>在当前上游，外部缓存可由AscendStoreConnector加Mooncake后端实现；P→D交接可由MooncakeConnectorV1承担，二者可经MultiConnector组合。客户实际是否使用这组实现，仍要以完整kv_transfer_config为准。</w:t>
      </w:r>
      <w:hyperlink r:id="rId9">
        <w:r>
          <w:rPr>
            <w:color w:val="245D80"/>
            <w:rFonts w:ascii="Microsoft YaHei" w:eastAsia="Microsoft YaHei"/>
          </w:rPr>
          <w:t>依据：官方KV Pool职责说明</w:t>
        </w:r>
      </w:hyperlink>
    </w:p>
    <w:p>
      <w:pPr>
        <w:pStyle w:val="Heading2"/>
      </w:pPr>
      <w:r>
        <w:t>3.2 池化收益取决于有效复用和关键路径成本</w:t>
      </w:r>
    </w:p>
    <w:p>
      <w:r>
        <w:t>一次查找显示命中，不代表所有PP阶段需要的KV均可用；传输成功也不代表已写入正确的NPU缓存，更不代表调度器实际跳过了对应prefill计算。需要连通“查找命中→分片齐全→加载完成→实际少算”的证据链。</w:t>
      </w:r>
    </w:p>
    <w:p>
      <w:r>
        <w:t>池化能够带来的收益，是实际省下的计算及可能获得的容量收益；代价包括索引查找、GET和PUT、缓存发布、注册与拷贝、同步等待及失败重算。判断应看关键路径上未被计算重叠隐藏的净成本，不能把并行执行的所有操作耗时简单相加。</w:t>
      </w:r>
    </w:p>
    <w:p>
      <w:r>
        <w:t>对PP而言，某个阶段的额外等待、负载不均或保存屏障就可能拖慢整条流水线；无需先假设存在“全模型KV收集”。对PD而言，P侧节省计算也未必变成端到端收益，D侧服务能力、路由排队和P→D交接都可能限制吞吐。</w:t>
      </w:r>
    </w:p>
    <w:p>
      <w:pPr>
        <w:pStyle w:val="Heading2"/>
      </w:pPr>
      <w:r>
        <w:t>3.3 路由亲和与共享缓存可能相互影响</w:t>
      </w:r>
    </w:p>
    <w:p>
      <w:r>
        <w:t>P侧KVC亲和可提高本地或近端命中，也可能把请求集中到少数副本，引入排队与负载不均。共享池能减少重算，但可能增加远端读写和共享链路竞争。因此需要同时观察每个P副本的有效复用率、排队时间、负载和远端流量，不能只追求总命中率。</w:t>
      </w:r>
    </w:p>
    <w:p>
      <w:r>
        <w:t>独立分析阶段的判断是：现场现象可以由实现缺口、额外开销或实验混杂解释；应先确定实际链路与故障签名，再选择验证假设。该判断随后得到公开源码的支持。</w:t>
      </w:r>
    </w:p>
    <w:p>
      <w:pPr>
        <w:pStyle w:val="Heading1"/>
        <w:pageBreakBefore/>
      </w:pPr>
      <w:r>
        <w:t>4 客户路线的源码结论</w:t>
      </w:r>
    </w:p>
    <w:p>
      <w:pPr>
        <w:pStyle w:val="Heading2"/>
      </w:pPr>
      <w:r>
        <w:t>4.1 池化没有全模型整块这一强制前提</w:t>
      </w:r>
    </w:p>
    <w:p>
      <w:r>
        <w:t>Mooncake Store接受字符串key与多个buffer及其长度；Transfer Engine处理源地址、目标区域、偏移和长度，底层不要求一个对象对应完整模型的所有层。由此可按PP阶段组织对象，但底层通用接口本身不保证上层适配正确。</w:t>
      </w:r>
      <w:hyperlink r:id="rId10">
        <w:r>
          <w:rPr>
            <w:color w:val="245D80"/>
            <w:rFonts w:ascii="Microsoft YaHei" w:eastAsia="Microsoft YaHei"/>
          </w:rPr>
          <w:t>Store多buffer接口</w:t>
        </w:r>
      </w:hyperlink>
      <w:r>
        <w:t>；</w:t>
      </w:r>
      <w:hyperlink r:id="rId11">
        <w:r>
          <w:rPr>
            <w:color w:val="245D80"/>
            <w:rFonts w:ascii="Microsoft YaHei" w:eastAsia="Microsoft YaHei"/>
          </w:rPr>
          <w:t>传输请求结构</w:t>
        </w:r>
      </w:hyperlink>
    </w:p>
    <w:p>
      <w:r>
        <w:t>vllm-ascend的AscendStore进一步提供直接证据：PoolKey包含pp_rank等分片维度，worker按本阶段实际KV张量建立地址、stride和每块字节数；D回写P侧布局时存在按PP partition拆分key、地址与长度的处理。因此“命中后必须先gather全模型缓存”不是普遍实现事实。</w:t>
      </w:r>
      <w:hyperlink r:id="rId12">
        <w:r>
          <w:rPr>
            <w:color w:val="245D80"/>
            <w:rFonts w:ascii="Microsoft YaHei" w:eastAsia="Microsoft YaHei"/>
          </w:rPr>
          <w:t>PoolKey定义</w:t>
        </w:r>
      </w:hyperlink>
      <w:r>
        <w:t>；</w:t>
      </w:r>
      <w:hyperlink r:id="rId13">
        <w:r>
          <w:rPr>
            <w:color w:val="245D80"/>
            <w:rFonts w:ascii="Microsoft YaHei" w:eastAsia="Microsoft YaHei"/>
          </w:rPr>
          <w:t>本地KV几何</w:t>
        </w:r>
      </w:hyperlink>
    </w:p>
    <w:p>
      <w:pPr>
        <w:pStyle w:val="Heading2"/>
      </w:pPr>
      <w:r>
        <w:t>4.2 PP支持是版本和路径相关的</w:t>
      </w:r>
    </w:p>
    <w:p>
      <w:r>
        <w:t>当前MooncakeConnectorV1读取P侧并行拓扑，但明确断言decode侧PP为1。这意味着原整理稿“P/D组内都开PP”的表述需要降为待核实项；若客户D侧确实PP大于1，要确认其connector、runner、自研改动或分支，不能直接套用当前默认实现。</w:t>
      </w:r>
      <w:hyperlink r:id="rId14">
        <w:r>
          <w:rPr>
            <w:color w:val="245D80"/>
            <w:rFonts w:ascii="Microsoft YaHei" w:eastAsia="Microsoft YaHei"/>
          </w:rPr>
          <w:t>D侧约束</w:t>
        </w:r>
      </w:hyperlink>
    </w:p>
    <w:p>
      <w:r>
        <w:t>当前Mooncake Store的layerwise后端也有PP支持及拓扑校验，但相关支持于9月22日合入，晚于9月21日的客户反馈。当前代码能反驳“原理上永不支持”，不能证明客户当时所用版本已经支持。</w:t>
      </w:r>
      <w:hyperlink r:id="rId15">
        <w:r>
          <w:rPr>
            <w:color w:val="245D80"/>
            <w:rFonts w:ascii="Microsoft YaHei" w:eastAsia="Microsoft YaHei"/>
          </w:rPr>
          <w:t>当前layerwise校验</w:t>
        </w:r>
      </w:hyperlink>
    </w:p>
    <w:p>
      <w:pPr>
        <w:pStyle w:val="Heading2"/>
      </w:pPr>
      <w:r>
        <w:t>4.3 HIXL fabric mem需按角色和版本核对</w:t>
      </w:r>
    </w:p>
    <w:p>
      <w:r>
        <w:t>当前Mooncake代码只允许Store初始化路径启用相应fabric mem选项，普通P2P传输引擎不会直接继承这个开关；Store和PD传输还可按角色选择不同链路。这说明“底层都是HIXL”不能替代实际传输路径的确认。</w:t>
      </w:r>
      <w:hyperlink r:id="rId16">
        <w:r>
          <w:rPr>
            <w:color w:val="245D80"/>
            <w:rFonts w:ascii="Microsoft YaHei" w:eastAsia="Microsoft YaHei"/>
          </w:rPr>
          <w:t>Store专用开关</w:t>
        </w:r>
      </w:hyperlink>
    </w:p>
    <w:p>
      <w:r>
        <w:t>需核对实际内存分配和注册方式、D2H/H2D/D2D路径、buffer pool及异步配置。这里的约束属于具体版本的工程实现，不能上升为PP与池化的数学或架构必然性。</w:t>
      </w:r>
    </w:p>
    <w:p>
      <w:pPr>
        <w:pStyle w:val="Heading1"/>
        <w:pageBreakBefore/>
      </w:pPr>
      <w:r>
        <w:t>5 公开故障和修复提供了哪些线索</w:t>
      </w:r>
    </w:p>
    <w:p>
      <w:r>
        <w:t>下列日期取官方GitHub记录，合并日期按UTC。它们用于检查客户提交是否包含相关变更；“公开问题相似”不等于“客户触发同一问题”，“PR已合并”也不等于“客户性能已经验证”。</w:t>
      </w:r>
    </w:p>
    <w:p>
      <w:pPr>
        <w:pStyle w:val="Heading2"/>
      </w:pPr>
      <w:r>
        <w:t>5.1 最直接的写池故障和保存开销</w:t>
      </w:r>
    </w:p>
    <w:p>
      <w:hyperlink r:id="rId17">
        <w:r>
          <w:rPr>
            <w:color w:val="245D80"/>
            <w:rFonts w:ascii="Microsoft YaHei" w:eastAsia="Microsoft YaHei"/>
          </w:rPr>
          <w:t>Issue 11478</w:t>
        </w:r>
      </w:hyperlink>
      <w:r>
        <w:t>报告GLM-5.1、PP2与Mooncake KV Pool组合在P侧producer-put阶段发生TRANSFER_FAIL，涉及pp_rank:1。它与客户现象高度相关，但报告环境为A2、64卡、4P4D和0.23测试镜像，不能与客户2P1D直接等同。该issue于7月6日创建、8月2日因缺少反馈自动关闭，未找到明确关联的修复；关闭状态不能解释为已解决。</w:t>
      </w:r>
    </w:p>
    <w:p>
      <w:hyperlink r:id="rId18">
        <w:r>
          <w:rPr>
            <w:color w:val="245D80"/>
            <w:rFonts w:ascii="Microsoft YaHei" w:eastAsia="Microsoft YaHei"/>
          </w:rPr>
          <w:t>PR 15636</w:t>
        </w:r>
      </w:hyperlink>
      <w:r>
        <w:t>于9月20日合并，直接减少PP加AscendStore的保存同步和深拷贝开销：避免同一步立即等待保存队列，改在下一步重用缓冲前同步。这是“写池、发布和保存等待值得优先计时”的具体依据。其收益仍需在客户负载上测量，不能用PR标题代替客户根因。</w:t>
      </w:r>
    </w:p>
    <w:p>
      <w:hyperlink r:id="rId19">
        <w:r>
          <w:rPr>
            <w:color w:val="245D80"/>
            <w:rFonts w:ascii="Microsoft YaHei" w:eastAsia="Microsoft YaHei"/>
          </w:rPr>
          <w:t>PR 12763</w:t>
        </w:r>
      </w:hyperlink>
      <w:r>
        <w:t>于7月27日合并，处理PP加MTP下非最后阶段的connector finalize及AscendStore握手相关行为。若客户启用MTP，应将阶段完成通知与保存生命周期列入版本核对；不能声称它就是11478的修复。</w:t>
      </w:r>
    </w:p>
    <w:p>
      <w:pPr>
        <w:pStyle w:val="Heading2"/>
      </w:pPr>
      <w:r>
        <w:t>5.2 聊天前后的支持变化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65"/>
        <w:gridCol w:w="1134"/>
        <w:gridCol w:w="5839"/>
      </w:tblGrid>
      <w:tr>
        <w:trPr>
          <w:cantSplit/>
          <w:tblHeader/>
        </w:trPr>
        <w:tc>
          <w:tcPr>
            <w:tcW w:type="dxa" w:w="266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变更</w:t>
            </w:r>
          </w:p>
        </w:tc>
        <w:tc>
          <w:tcPr>
            <w:tcW w:type="dxa" w:w="113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合并时间</w:t>
            </w:r>
          </w:p>
        </w:tc>
        <w:tc>
          <w:tcPr>
            <w:tcW w:type="dxa" w:w="5839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与本问题的关联及边界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vllm-ascend 17183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9月22日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Mooncake layerwise KV Pool增加PP支持；晚于9月21日反馈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vllm-ascend 17246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9月24日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修正PP下layerwise cache group索引；主要示例为DSv4与MemCache，不能移植为GLM根因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Mooncake 3955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9月9日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fabric mem回到Store专用路径；说明非Store D2D受HIXL版本能力影响</w:t>
            </w:r>
          </w:p>
        </w:tc>
      </w:tr>
      <w:tr>
        <w:trPr>
          <w:cantSplit/>
        </w:trPr>
        <w:tc>
          <w:tcPr>
            <w:tcW w:type="dxa" w:w="266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Mooncake 4286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9月23日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修正direct ACL VMM fabric内存注册路径；晚于聊天，且作者说明未做真实NPU端到端验证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对应来源：</w:t>
      </w:r>
      <w:hyperlink r:id="rId20">
        <w:r>
          <w:rPr>
            <w:color w:val="245D80"/>
            <w:rFonts w:ascii="Microsoft YaHei" w:eastAsia="Microsoft YaHei"/>
          </w:rPr>
          <w:t>17183</w:t>
        </w:r>
      </w:hyperlink>
      <w:r>
        <w:t>、</w:t>
      </w:r>
      <w:hyperlink r:id="rId21">
        <w:r>
          <w:rPr>
            <w:color w:val="245D80"/>
            <w:rFonts w:ascii="Microsoft YaHei" w:eastAsia="Microsoft YaHei"/>
          </w:rPr>
          <w:t>17246</w:t>
        </w:r>
      </w:hyperlink>
      <w:r>
        <w:t>、</w:t>
      </w:r>
      <w:hyperlink r:id="rId22">
        <w:r>
          <w:rPr>
            <w:color w:val="245D80"/>
            <w:rFonts w:ascii="Microsoft YaHei" w:eastAsia="Microsoft YaHei"/>
          </w:rPr>
          <w:t>3955</w:t>
        </w:r>
      </w:hyperlink>
      <w:r>
        <w:t>、</w:t>
      </w:r>
      <w:hyperlink r:id="rId23">
        <w:r>
          <w:rPr>
            <w:color w:val="245D80"/>
            <w:rFonts w:ascii="Microsoft YaHei" w:eastAsia="Microsoft YaHei"/>
          </w:rPr>
          <w:t>4286</w:t>
        </w:r>
      </w:hyperlink>
      <w:r>
        <w:t>。</w:t>
      </w:r>
    </w:p>
    <w:p>
      <w:r>
        <w:t>以上记录提高了“连接器适配、保存同步、内存注册与失败回退”的排查优先级，并未建立客户故障与任一PR的一一对应关系。应检查提交包含关系与实际生效代码，再评估小范围补丁；本报告不建议为尝试修复而直接更换整个软件栈。</w:t>
      </w:r>
    </w:p>
    <w:p>
      <w:pPr>
        <w:pStyle w:val="Heading1"/>
        <w:pageBreakBefore/>
      </w:pPr>
      <w:r>
        <w:t>6 候选原因和可证伪条件</w:t>
      </w:r>
    </w:p>
    <w:p>
      <w:r>
        <w:t>优先级按客户路线相关性、公开证据直接性和取证成本排序，不表示已经估计出发生概率。先检查启动和输出正确性，再讨论性能。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64"/>
        <w:gridCol w:w="2268"/>
        <w:gridCol w:w="2721"/>
        <w:gridCol w:w="3685"/>
      </w:tblGrid>
      <w:tr>
        <w:trPr>
          <w:cantSplit/>
          <w:tblHeader/>
        </w:trPr>
        <w:tc>
          <w:tcPr>
            <w:tcW w:type="dxa" w:w="96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优先项</w:t>
            </w:r>
          </w:p>
        </w:tc>
        <w:tc>
          <w:tcPr>
            <w:tcW w:type="dxa" w:w="226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候选原因</w:t>
            </w:r>
          </w:p>
        </w:tc>
        <w:tc>
          <w:tcPr>
            <w:tcW w:type="dxa" w:w="272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支持线索</w:t>
            </w:r>
          </w:p>
        </w:tc>
        <w:tc>
          <w:tcPr>
            <w:tcW w:type="dxa" w:w="368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最小验证与排除条件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PP阶段写池或保存同步开销</w:t>
            </w:r>
          </w:p>
        </w:tc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11478、15636、12763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逐阶段PUT、队列、发布完成和缓冲复用等待；若无失败且关键路径等待很小，应降级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层或rank分片元数据不匹配</w:t>
            </w:r>
          </w:p>
        </w:tc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PoolKey及stage本地地址的适配要求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核对层范围、cache group、shape、stride、块字节、注册长度、键维度；用输出一致性检查区分正确性故障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命中承诺未变成有效复用</w:t>
            </w:r>
          </w:p>
        </w:tc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完整分片与调度跳过计算需联动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同请求比较逻辑命中、成功加载、实际少算token；若三者一致，转向成本分析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Store与PD传输竞争或配置不匹配</w:t>
            </w:r>
          </w:p>
        </w:tc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角色链路分离及fabric历史变更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分开记录GET、PUT、P→D流量和失败；核对注册模式、通道、HIXL版本及初始化日志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流水线等待与路由负载不均</w:t>
            </w:r>
          </w:p>
        </w:tc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PP关键阶段及P侧粗糙亲和策略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每stage利用率、每P队列、D等待、批量大小与路由分布；固定路由做对照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工作负载和实验口径混杂</w:t>
            </w:r>
          </w:p>
        </w:tc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尚无一致对照，原方案改变并行布局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固定长度、到达率、缓存状态及其他开关；看劣化是否仍存在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6.1 需要补齐的请求时间线</w:t>
      </w:r>
    </w:p>
    <w:p>
      <w:r>
        <w:t>从请求到达开始，记录路由与P排队、外部lookup、GET与写回、prefill各PP阶段、PUT及缓存发布、P→D交接、D等待、首token和完成。部分动作会重叠，应按依赖关系找到关键路径，而非把各段平均时长直接求和。</w:t>
      </w:r>
    </w:p>
    <w:p>
      <w:r>
        <w:t>PUT可能影响当前请求，也可能通过保存队列、下一步缓冲重用或缓存发布时间影响后续请求。只比较“命中请求的pull耗时”，会漏掉这一类已被上游修复记录指出的开销。</w:t>
      </w:r>
    </w:p>
    <w:p>
      <w:pPr>
        <w:pStyle w:val="Heading2"/>
      </w:pPr>
      <w:r>
        <w:t>6.2 根因成立需要形成闭环</w:t>
      </w:r>
    </w:p>
    <w:p>
      <w:r>
        <w:t>较强的根因证据应同时满足：同一部署下现象可重复；日志或时间线显示候选环节异常；一个针对该环节的受控变更改善异常及业务指标；恢复原条件能再次出现问题，或有等价的反事实对照。仅有静态代码分支、相关PR或一次跑分差值都不足以结案。</w:t>
      </w:r>
    </w:p>
    <w:p>
      <w:pPr>
        <w:pStyle w:val="Heading1"/>
        <w:pageBreakBefore/>
      </w:pPr>
      <w:r>
        <w:t>7 LMCache代码证据的复核</w:t>
      </w:r>
    </w:p>
    <w:p>
      <w:r>
        <w:t>这一节审查的是第二批材料提出的替代路线。它可以发现LMCache自身的兼容性风险，但不作为客户Mooncake根因证据。已同时核对LMCache与LMCache-Ascend的v0.4.4，以及本次检出的公开主线快照。</w:t>
      </w:r>
    </w:p>
    <w:p>
      <w:pPr>
        <w:pStyle w:val="Heading2"/>
      </w:pPr>
      <w:r>
        <w:t>7.1 E1至E8的最终判定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7"/>
        <w:gridCol w:w="3628"/>
        <w:gridCol w:w="4252"/>
      </w:tblGrid>
      <w:tr>
        <w:trPr>
          <w:cantSplit/>
          <w:tblHeader/>
        </w:trPr>
        <w:tc>
          <w:tcPr>
            <w:tcW w:type="dxa" w:w="1757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362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已核实的代码事实</w:t>
            </w:r>
          </w:p>
        </w:tc>
        <w:tc>
          <w:tcPr>
            <w:tcW w:type="dxa" w:w="425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对原解释的修正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E1 后端互斥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P2P或PD与use_layerwise同时启用会被拒绝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校验没有读取PP参数，不能推出PP本身不支持；截图配置为layerwise false且未开P2P/PD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E2 首rank保存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MLA路径可仅首rank维护缓存，其他rank被标为passive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它原本用于重复KV去重；须检查PP下作用域，不能直接宣布非首rank全部丢层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E3 异步保存限制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layerwise保存分支断言不能store_async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适用于该分支执行时，并非所有PP服务启动必报错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E4 失败重算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P2P pull失败可将块标为invalid，交给vLLM重算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日志出现才证明请求触发；源码有回退不代表现场已回退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E5 传输通道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支持hccl和hixl，示例有不同推荐等级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属于LMCache支持矩阵，不等于客户Mooncake fabric路径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E6 搬运组装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P2P后端有暂存、读写和接收逻辑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页式KV写入还涉及NPU connector，不能只测单文件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E7 延迟拉取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proxy对象支持延迟获取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仅相应路径生效，不是所有命中统一行为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E8 观测标记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有NVTX装饰器，未装nvtx时可退化为空操作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不保证msprof自动显示完整lookup、pull、scatter分段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主要源码：</w:t>
      </w:r>
      <w:hyperlink r:id="rId24">
        <w:r>
          <w:rPr>
            <w:color w:val="245D80"/>
            <w:rFonts w:ascii="Microsoft YaHei" w:eastAsia="Microsoft YaHei"/>
          </w:rPr>
          <w:t>后端配置校验</w:t>
        </w:r>
      </w:hyperlink>
      <w:r>
        <w:t>、</w:t>
      </w:r>
      <w:hyperlink r:id="rId25">
        <w:r>
          <w:rPr>
            <w:color w:val="245D80"/>
            <w:rFonts w:ascii="Microsoft YaHei" w:eastAsia="Microsoft YaHei"/>
          </w:rPr>
          <w:t>适配层失败回退</w:t>
        </w:r>
      </w:hyperlink>
      <w:r>
        <w:t>、</w:t>
      </w:r>
      <w:hyperlink r:id="rId26">
        <w:r>
          <w:rPr>
            <w:color w:val="245D80"/>
            <w:rFonts w:ascii="Microsoft YaHei" w:eastAsia="Microsoft YaHei"/>
          </w:rPr>
          <w:t>NVTX与空操作</w:t>
        </w:r>
      </w:hyperlink>
      <w:r>
        <w:t>。完整逐项链接保存在独立代码审查报告中。</w:t>
      </w:r>
    </w:p>
    <w:p>
      <w:pPr>
        <w:pStyle w:val="Heading2"/>
      </w:pPr>
      <w:r>
        <w:t>7.2 PP不等于按层传输模式</w:t>
      </w:r>
    </w:p>
    <w:p>
      <w:r>
        <w:t>PP阶段可以把自己负责的多层KV按token chunk统一保存，不需要强制use_layerwise为true。上游保存路径明确考虑每个PP阶段保存自己的KV，同步lookup会汇总TP和PP各rank的命中token并取最小值。这些代码说明两者并非原理互斥，也不代表任意模型、后端和版本都已经通过验收。</w:t>
      </w:r>
      <w:hyperlink r:id="rId27">
        <w:r>
          <w:rPr>
            <w:color w:val="245D80"/>
            <w:rFonts w:ascii="Microsoft YaHei" w:eastAsia="Microsoft YaHei"/>
          </w:rPr>
          <w:t>逐PP阶段保存</w:t>
        </w:r>
      </w:hyperlink>
      <w:r>
        <w:t>；</w:t>
      </w:r>
      <w:hyperlink r:id="rId28">
        <w:r>
          <w:rPr>
            <w:color w:val="245D80"/>
            <w:rFonts w:ascii="Microsoft YaHei" w:eastAsia="Microsoft YaHei"/>
          </w:rPr>
          <w:t>命中完整性聚合</w:t>
        </w:r>
      </w:hyperlink>
    </w:p>
    <w:p>
      <w:pPr>
        <w:pStyle w:val="Heading1"/>
        <w:pageBreakBefore/>
      </w:pPr>
      <w:r>
        <w:t>8 LMCache替代路线的具体风险</w:t>
      </w:r>
    </w:p>
    <w:p>
      <w:pPr>
        <w:pStyle w:val="Heading2"/>
      </w:pPr>
      <w:r>
        <w:t>8.1 首rank判定和TP广播作用域不一致</w:t>
      </w:r>
    </w:p>
    <w:p>
      <w:r>
        <w:t>在截图对应的classic connector、MLA及save_only_first_rank启用路径中，上游将metadata.worker_id设为parallel_config.rank，first_rank判定固定为全局worker 0；广播函数却来自get_tp_group。对DP1、TP8、PP2的常规布局，第二个阶段是全局rank 8至15，其TP组内源rank 0实际是全局rank 8。</w:t>
      </w:r>
    </w:p>
    <w:p>
      <w:r>
        <w:t>vLLM v0.18.0源码已经交叉确认这些rank语义。因此，“只有全局0为active”与“每个TP组需要自己的发送者”存在明确的静态作用域不一致风险，值得在LMCache验证中优先检查。仍不能据此指定运行结果一定是死锁、丢层或退化，更不能把它迁移为客户Mooncake根因。</w:t>
      </w:r>
    </w:p>
    <w:p>
      <w:r>
        <w:t>验证时逐worker记录global rank、TP rank、PP rank、metadata.worker_id、first_rank、use_mla、passive、层范围及storage_manager，再用同一前缀的连续请求检查各stage的保存、广播与实际命中。不要把关闭first-rank或打开layerwise直接当成修复；它们还会改变lookup worker、缓存容量和传输行为。</w:t>
      </w:r>
    </w:p>
    <w:p>
      <w:r>
        <w:t>依据：</w:t>
      </w:r>
      <w:hyperlink r:id="rId29">
        <w:r>
          <w:rPr>
            <w:color w:val="245D80"/>
            <w:rFonts w:ascii="Microsoft YaHei" w:eastAsia="Microsoft YaHei"/>
          </w:rPr>
          <w:t>LMCache元数据和广播绑定</w:t>
        </w:r>
      </w:hyperlink>
      <w:r>
        <w:t>、</w:t>
      </w:r>
      <w:hyperlink r:id="rId30">
        <w:r>
          <w:rPr>
            <w:color w:val="245D80"/>
            <w:rFonts w:ascii="Microsoft YaHei" w:eastAsia="Microsoft YaHei"/>
          </w:rPr>
          <w:t>first_rank定义</w:t>
        </w:r>
      </w:hyperlink>
      <w:r>
        <w:t>、</w:t>
      </w:r>
      <w:hyperlink r:id="rId31">
        <w:r>
          <w:rPr>
            <w:color w:val="245D80"/>
            <w:rFonts w:ascii="Microsoft YaHei" w:eastAsia="Microsoft YaHei"/>
          </w:rPr>
          <w:t>vLLM组内广播源语义</w:t>
        </w:r>
      </w:hyperlink>
      <w:r>
        <w:t>、</w:t>
      </w:r>
      <w:hyperlink r:id="rId32">
        <w:r>
          <w:rPr>
            <w:color w:val="245D80"/>
            <w:rFonts w:ascii="Microsoft YaHei" w:eastAsia="Microsoft YaHei"/>
          </w:rPr>
          <w:t>TP和PP分组</w:t>
        </w:r>
      </w:hyperlink>
      <w:r>
        <w:t>。</w:t>
      </w:r>
    </w:p>
    <w:p>
      <w:pPr>
        <w:pStyle w:val="Heading2"/>
      </w:pPr>
      <w:r>
        <w:t>8.2 原实验没有配置跨实例池化</w:t>
      </w:r>
    </w:p>
    <w:p>
      <w:r>
        <w:t>截图YAML配置local_cpu、use_layerwise false、store_async true，kv_role为kv_both。它表明本地缓存可保存和加载；在没有额外环境覆写时，enable_p2p和enable_pd默认为false，没有controller与peer配置，不能声称已覆盖跨实例共享或客户Mooncake路径。</w:t>
      </w:r>
      <w:hyperlink r:id="rId33">
        <w:r>
          <w:rPr>
            <w:color w:val="245D80"/>
            <w:rFonts w:ascii="Microsoft YaHei" w:eastAsia="Microsoft YaHei"/>
          </w:rPr>
          <w:t>P2P默认值</w:t>
        </w:r>
      </w:hyperlink>
      <w:r>
        <w:t>；</w:t>
      </w:r>
      <w:hyperlink r:id="rId34">
        <w:r>
          <w:rPr>
            <w:color w:val="245D80"/>
            <w:rFonts w:ascii="Microsoft YaHei" w:eastAsia="Microsoft YaHei"/>
          </w:rPr>
          <w:t>真正的P2P实例配置</w:t>
        </w:r>
      </w:hyperlink>
    </w:p>
    <w:p>
      <w:pPr>
        <w:pStyle w:val="Heading2"/>
      </w:pPr>
      <w:r>
        <w:t>8.3 硬件和版本表述需收紧</w:t>
      </w:r>
    </w:p>
    <w:p>
      <w:r>
        <w:t>当前GLM-5.1指南写的是8张卡、每卡2芯片，共16个芯片，推荐布局为DP2乘TP8。改成PP2乘TP8不属于同一已验证配置；“16芯片”也不能写成“16张物理卡”。指南在本次主线存在，v0.4.4 tag中没有；指南建议安装v0.4.4，并不表示该tag内已经包含指南。</w:t>
      </w:r>
    </w:p>
    <w:p>
      <w:r>
        <w:t>截图中的A2八设备一定能启动、权重约280GB，以及所有docker补丁都必须应用，均缺乏对应范围的验证。应按实际checkpoint、HBM、目标路径和版本判断；单机能启动不代表2P1D跨实例问题已经复现。</w:t>
      </w:r>
      <w:hyperlink r:id="rId35">
        <w:r>
          <w:rPr>
            <w:color w:val="245D80"/>
            <w:rFonts w:ascii="Microsoft YaHei" w:eastAsia="Microsoft YaHei"/>
          </w:rPr>
          <w:t>GLM指南的硬件与软件条件</w:t>
        </w:r>
      </w:hyperlink>
    </w:p>
    <w:p>
      <w:pPr>
        <w:pStyle w:val="Heading1"/>
        <w:pageBreakBefore/>
      </w:pPr>
      <w:r>
        <w:t>9 与此前问题分析文档的对比</w:t>
      </w:r>
    </w:p>
    <w:p>
      <w:r>
        <w:t>此前DOCX是对截图内容的完整整理，并已将部分结论改为假设，补充了公式、变量和技术路线的说明。本次增加了独立分析及版本化源码核对，最终判断以本报告为准；原整理稿仍可作为原材料索引。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3402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对比项</w:t>
            </w:r>
          </w:p>
        </w:tc>
        <w:tc>
          <w:tcPr>
            <w:tcW w:type="dxa" w:w="340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第二批材料的主张或方案</w:t>
            </w:r>
          </w:p>
        </w:tc>
        <w:tc>
          <w:tcPr>
            <w:tcW w:type="dxa" w:w="453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最终处理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问题本质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整块池化与PP分层构成结构冲突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撤回必然性结论；改为具体版本的分片、生命周期与成本问题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关键缺口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缺少池化与PP联合测量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保留；补充客户配置、真实负载、输出正确性与有效命中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E1解释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layerwise互斥证明PP兼容性问题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限缩为特定后端配置互斥，不等同PP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E2解释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首rank集中管理与PP天然冲突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改为MLA classic路径的具体rank作用域风险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观测链路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lookup、pull、scatter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扩展PUT、发布、保存屏障、P→D交接及流水线等待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路线选择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用LMCache实验定位客户池化问题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客户Mooncake复现优先；LMCache另做替代路线验证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D组启动失败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可作为池化加PP复现结论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只能确认该配置不可用，不能复现“运行时性能下降”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四象限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直接计算D减去B与C之和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原始成本需补A基线；并检查DP/TP等混杂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实验池化开关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local_cpu加kv_both视为池化开启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只覆盖相应本地缓存；共享池与PD需单独配置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A3配置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DP2TP8切到DP1TP8PP2，称只改PP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同时改变副本数和调度，属于部署方案比较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A2配置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TP8切到TP4PP2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同时改变TP，不能归因纯PP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单机价值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可复现冲突，劣化是跨机下界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只保证可做部分路径验证，结果不具一般下界关系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命中率扫描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改prompt长度或轮数即视为目标命中率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固定总长度分布，构造复用比例，记录实际有效命中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复现标准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大于10%、三次方向一致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可作事先约定的工程阈值，不能替代方差、区间与SLO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观测工具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有NVTX标记即能用msprof按阶段读取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需验证目标环境是否采集到事件，必要时补请求级计时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原方案中四象限、重复运行、分阶段计时、命中率与并发扫描仍值得保留。关键调整是先对准客户实际栈，再确保实验回答的是同一个问题，而非把替代环境的限制解释为原客户根因。</w:t>
      </w:r>
    </w:p>
    <w:p>
      <w:pPr>
        <w:pStyle w:val="Heading1"/>
        <w:pageBreakBefore/>
      </w:pPr>
      <w:r>
        <w:t>10 修订后的实验设计</w:t>
      </w:r>
    </w:p>
    <w:p>
      <w:pPr>
        <w:pStyle w:val="Heading2"/>
      </w:pPr>
      <w:r>
        <w:t>10.1 第一轮直接回答客户问题</w:t>
      </w:r>
    </w:p>
    <w:p>
      <w:r>
        <w:t>先确认客户所称“池化”是否包含跨请求共享复用或其他卸载路径。如包含共享复用，保留客户模型、量化、2P1D、P/D并行拓扑、MTP、EP、图模式、批量上限和路由策略，比较共享复用关闭与开启。必要的P→D KV传输必须保留；若一个开关同时关闭PD传输与共享复用，应先拆清配置，不能当成有效对照。</w:t>
      </w:r>
    </w:p>
    <w:p>
      <w:r>
        <w:t>在相同负载下分别跑冷缓存、预热后稳定复用和低复用场景，记录业务指标及关键路径。先确认组合确实变差及主要发生环节，再决定是否需要扩展到无PP环境。这样可避免一开始换引擎或改并行布局而丢失原问题。</w:t>
      </w:r>
    </w:p>
    <w:p>
      <w:pPr>
        <w:pStyle w:val="Heading2"/>
      </w:pPr>
      <w:r>
        <w:t>10.2 四象限只在可比条件下使用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64"/>
        <w:gridCol w:w="1134"/>
        <w:gridCol w:w="2268"/>
        <w:gridCol w:w="5272"/>
      </w:tblGrid>
      <w:tr>
        <w:trPr>
          <w:cantSplit/>
          <w:tblHeader/>
        </w:trPr>
        <w:tc>
          <w:tcPr>
            <w:tcW w:type="dxa" w:w="96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组别</w:t>
            </w:r>
          </w:p>
        </w:tc>
        <w:tc>
          <w:tcPr>
            <w:tcW w:type="dxa" w:w="113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PP</w:t>
            </w:r>
          </w:p>
        </w:tc>
        <w:tc>
          <w:tcPr>
            <w:tcW w:type="dxa" w:w="226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共享缓存复用</w:t>
            </w:r>
          </w:p>
        </w:tc>
        <w:tc>
          <w:tcPr>
            <w:tcW w:type="dxa" w:w="5272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A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关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关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对照基线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B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关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开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无PP布局内的复用效果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C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开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关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PP布局的无复用基线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  <w:jc w:val="center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开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开</w:t>
            </w:r>
          </w:p>
        </w:tc>
        <w:tc>
          <w:tcPr>
            <w:tcW w:type="dxa" w:w="5272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客户关注的组合效果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对同口径原始成本Y，交互项为：</w:t>
      </w:r>
      <m:oMath>
        <m:r>
          <m:t>I = </m:t>
        </m:r>
        <m:sSub>
          <m:e>
            <m:r>
              <m:t>Y</m:t>
            </m:r>
          </m:e>
          <m:sub>
            <m:r>
              <m:t>D</m:t>
            </m:r>
          </m:sub>
        </m:sSub>
        <m:r>
          <m:t> − 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t> − </m:t>
        </m:r>
        <m:sSub>
          <m:e>
            <m:r>
              <m:t>Y</m:t>
            </m:r>
          </m:e>
          <m:sub>
            <m:r>
              <m:t>B</m:t>
            </m:r>
          </m:sub>
        </m:sSub>
        <m:r>
          <m:t> + </m:t>
        </m:r>
        <m:sSub>
          <m:e>
            <m:r>
              <m:t>Y</m:t>
            </m:r>
          </m:e>
          <m:sub>
            <m:r>
              <m:t>A</m:t>
            </m:r>
          </m:sub>
        </m:sSub>
      </m:oMath>
      <w:r>
        <w:t>，等价于比较“PP下开复用的成本变化”和“无PP下开复用的成本变化”。若Y为耗时，正值表示在该加性尺度上出现额外成本；它不是未加限定的普遍“冲突损失”。</w:t>
      </w:r>
    </w:p>
    <w:p>
      <w:r>
        <w:t>对吞吐，更直接的结果是分别报告B/A与D/C的增益比例，并结合相同SLO下的有效服务能力。尾分位数、比值与平均阶段时间不能混加。重复实验需报告波动或区间，不把三次同向当成统计显著。</w:t>
      </w:r>
      <w:hyperlink r:id="rId36">
        <w:r>
          <w:rPr>
            <w:color w:val="245D80"/>
            <w:rFonts w:ascii="Microsoft YaHei" w:eastAsia="Microsoft YaHei"/>
          </w:rPr>
          <w:t>交互与混杂的方法依据</w:t>
        </w:r>
      </w:hyperlink>
    </w:p>
    <w:p>
      <w:pPr>
        <w:pStyle w:val="Heading2"/>
      </w:pPr>
      <w:r>
        <w:t>10.3 分开部署决策和机制定位</w:t>
      </w:r>
    </w:p>
    <w:p>
      <w:r>
        <w:t>固定总资源时，从DP2TP8切换为DP1TP8PP2会改变副本数；从TP8切换为TP4PP2会改变张量并行。它们可以回答“哪个完整部署更适合负载”，不能回答“PP单独导致多少损失”。若资源不允许保持DP和TP，就如实报告比较边界，不强行称为单变量实验。</w:t>
      </w:r>
    </w:p>
    <w:p>
      <w:r>
        <w:t>单机用于验证启动、缓存完整性、rank作用域和局部等待；跨节点用于验证实际拓扑下的传输、竞争和端到端业务表现。节点数、链路和缓存容量改变后，劣化可能增大也可能减小，不能将单机数值自动标为跨机下界。</w:t>
      </w:r>
    </w:p>
    <w:p>
      <w:pPr>
        <w:pStyle w:val="Heading1"/>
        <w:pageBreakBefore/>
      </w:pPr>
      <w:r>
        <w:t>11 负载和观测要求</w:t>
      </w:r>
    </w:p>
    <w:p>
      <w:pPr>
        <w:pStyle w:val="Heading2"/>
      </w:pPr>
      <w:r>
        <w:t>11.1 控制请求与缓存状态</w:t>
      </w:r>
    </w:p>
    <w:p>
      <w:r>
        <w:t>固定输入输出token长度分布、生成参数、负载强度、请求数及持续时间。调整前缀复用比例时尽量维持总输入长度分布，通过预热指定前缀控制复用机会；0%、30%、60%、90%只能是目标档位，最终以实际有效外部token复用率为准。</w:t>
      </w:r>
    </w:p>
    <w:p>
      <w:r>
        <w:t>分别记录本地APC命中、外部逻辑命中、加载成功、完整阶段覆盖及实际少算token。跨rank完整命中不能用某一个rank的命中率代替；具体算法应与实际分层和cache group语义一致。0%复用档仍是识别固定开销与资源竞争的必要对照，不能简单排除。</w:t>
      </w:r>
    </w:p>
    <w:p>
      <w:r>
        <w:t>开放式到达率与封闭式并发上限回答不同问题。固定qps为0.3的试验不能直接量出最大吞吐；用户数也不等于稳态并发。重复同一数据和随机种子可能留下缓存，应记录清理、预热及运行顺序。</w:t>
      </w:r>
      <w:hyperlink r:id="rId37">
        <w:r>
          <w:rPr>
            <w:color w:val="245D80"/>
            <w:rFonts w:ascii="Microsoft YaHei" w:eastAsia="Microsoft YaHei"/>
          </w:rPr>
          <w:t>vLLM压测指标与负载说明</w:t>
        </w:r>
      </w:hyperlink>
    </w:p>
    <w:p>
      <w:pPr>
        <w:pStyle w:val="Heading2"/>
      </w:pPr>
      <w:r>
        <w:t>11.2 每组最少保留的数据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91"/>
        <w:gridCol w:w="5159"/>
        <w:gridCol w:w="3288"/>
      </w:tblGrid>
      <w:tr>
        <w:trPr>
          <w:cantSplit/>
          <w:tblHeader/>
        </w:trPr>
        <w:tc>
          <w:tcPr>
            <w:tcW w:type="dxa" w:w="1191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层面</w:t>
            </w:r>
          </w:p>
        </w:tc>
        <w:tc>
          <w:tcPr>
            <w:tcW w:type="dxa" w:w="5159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最少记录项</w:t>
            </w:r>
          </w:p>
        </w:tc>
        <w:tc>
          <w:tcPr>
            <w:tcW w:type="dxa" w:w="3288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用于区分什么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业务</w:t>
            </w:r>
          </w:p>
        </w:tc>
        <w:tc>
          <w:tcPr>
            <w:tcW w:type="dxa" w:w="515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成功率、tokens/s、TTFT、TPOT、E2E的P50/P99、既定SLO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业务劣化类型；满载与未满载的差别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请求</w:t>
            </w:r>
          </w:p>
        </w:tc>
        <w:tc>
          <w:tcPr>
            <w:tcW w:type="dxa" w:w="515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request_id、长度、到达率或并发、路由、逻辑命中、实际少算token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请求是否可比，复用是否真实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PP阶段</w:t>
            </w:r>
          </w:p>
        </w:tc>
        <w:tc>
          <w:tcPr>
            <w:tcW w:type="dxa" w:w="515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层范围、TP/PP rank、group、shape/stride、每块字节、KV就绪时间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分片完整性和最慢阶段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读写</w:t>
            </w:r>
          </w:p>
        </w:tc>
        <w:tc>
          <w:tcPr>
            <w:tcW w:type="dxa" w:w="515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lookup、GET、PUT、发布、写回、队列等待、保存屏障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读成本、写成本及未隐藏的等待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传输</w:t>
            </w:r>
          </w:p>
        </w:tc>
        <w:tc>
          <w:tcPr>
            <w:tcW w:type="dxa" w:w="515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Store与PD分别统计字节、调用数、重试、失败及回退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数据量、碎片化、共享资源竞争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资源</w:t>
            </w:r>
          </w:p>
        </w:tc>
        <w:tc>
          <w:tcPr>
            <w:tcW w:type="dxa" w:w="515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各stage利用率、HBM、Host缓存、P队列、D等待、链路状态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容量压力、流水线气泡与调度不均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r>
        <w:t>TPOT和ITL在投机解码下不应无条件互换；跨进程时钟需对齐，或使用单侧可比较时间线。先确认profile中确实能看到所需事件，再依赖其作分阶段结论。</w:t>
      </w:r>
    </w:p>
    <w:p>
      <w:pPr>
        <w:pStyle w:val="Heading2"/>
      </w:pPr>
      <w:r>
        <w:t>11.3 结果分类</w:t>
      </w:r>
    </w:p>
    <w:p>
      <w:r>
        <w:t>不能启动归为配置或接口兼容问题；输出不一致归为正确性问题；失败回退归为可靠性与重算问题；有效复用正常而指标变差归为性能问题。每类需要不同证据，不能用统一的“兼容性劣化”掩盖差别。尾延迟样本量不足时，应保留不确定性。</w:t>
      </w:r>
    </w:p>
    <w:p>
      <w:pPr>
        <w:pStyle w:val="Heading1"/>
        <w:pageBreakBefore/>
      </w:pPr>
      <w:r>
        <w:t>12 当前待办和结案条件</w:t>
      </w:r>
    </w:p>
    <w:p>
      <w:pPr>
        <w:pStyle w:val="Heading2"/>
      </w:pPr>
      <w:r>
        <w:t>12.1 按顺序执行的最小工作包</w:t>
      </w:r>
    </w:p>
    <w:p>
      <w:pPr>
        <w:ind w:left="255" w:hanging="255"/>
      </w:pPr>
      <w:r>
        <w:t>1. 冻结现场。收集P1、P2、D和proxy启动脚本，完整kv_transfer_config、环境变量、实际加载配置与各组件提交。确认D侧是否PP、是否MultiConnector，以及“池化开关”究竟控制什么。</w:t>
      </w:r>
    </w:p>
    <w:p>
      <w:pPr>
        <w:ind w:left="255" w:hanging="255"/>
      </w:pPr>
      <w:r>
        <w:t>2. 固定负载。取得bench.sh、ks测试负载.zip和GLM参考文件，明确1/3.2指标定义、基准和客户关注的SLO，固定本地与外部缓存状态。</w:t>
      </w:r>
    </w:p>
    <w:p>
      <w:pPr>
        <w:ind w:left="255" w:hanging="255"/>
      </w:pPr>
      <w:r>
        <w:t>3. 找到首次异常。保留同一请求各stage首次PUT/GET失败、pp_rank、块字节、注册长度、后台异常、发布和缓冲复用等待。先确认真实走到哪条链路。</w:t>
      </w:r>
    </w:p>
    <w:p>
      <w:pPr>
        <w:ind w:left="255" w:hanging="255"/>
      </w:pPr>
      <w:r>
        <w:t>4. 做客户栈开关对照。保持PD传输和其余优化不变，测共享复用开关；按第6节决策路径缩小问题。若现场只出现保存等待，优先评估15636相关变更是否缺失或被回退。</w:t>
      </w:r>
    </w:p>
    <w:p>
      <w:pPr>
        <w:ind w:left="255" w:hanging="255"/>
      </w:pPr>
      <w:r>
        <w:t>5. 做一项有针对性的验证。依据日志选择生命周期、分片元数据、注册方式或同步点中的一项，比较变更前后异常和业务指标。避免同时换镜像、并行布局和缓存引擎。</w:t>
      </w:r>
    </w:p>
    <w:p>
      <w:pPr>
        <w:ind w:left="255" w:hanging="255"/>
      </w:pPr>
      <w:r>
        <w:t>6. 如需LMCache替代方案，另建验收。先证明所需本地或P2P路径确实开启，再验证MLA加PP的rank作用域、正确性、有效复用及SLO；其结果单独报告。</w:t>
      </w:r>
    </w:p>
    <w:p>
      <w:pPr>
        <w:pStyle w:val="Heading2"/>
      </w:pPr>
      <w:r>
        <w:t>12.2 尚未关闭的关键问题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195"/>
        <w:gridCol w:w="5443"/>
      </w:tblGrid>
      <w:tr>
        <w:trPr>
          <w:cantSplit/>
          <w:tblHeader/>
        </w:trPr>
        <w:tc>
          <w:tcPr>
            <w:tcW w:type="dxa" w:w="419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开放问题</w:t>
            </w:r>
          </w:p>
        </w:tc>
        <w:tc>
          <w:tcPr>
            <w:tcW w:type="dxa" w:w="5443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为什么影响最终归因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客户实际模型、版本、补丁及connector是什么</w:t>
            </w:r>
          </w:p>
        </w:tc>
        <w:tc>
          <w:tcPr>
            <w:tcW w:type="dxa" w:w="54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决定公开代码和修复是否适用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PP开在哪一侧，层如何分配</w:t>
            </w:r>
          </w:p>
        </w:tc>
        <w:tc>
          <w:tcPr>
            <w:tcW w:type="dxa" w:w="54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D侧限制、非均匀分层和MTP附加层会改变适配路径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劣化是写池失败、命中减少还是等待增加</w:t>
            </w:r>
          </w:p>
        </w:tc>
        <w:tc>
          <w:tcPr>
            <w:tcW w:type="dxa" w:w="54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分别对应可靠性、有效复用或性能成本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命中率是本地、远端、请求还是token口径</w:t>
            </w:r>
          </w:p>
        </w:tc>
        <w:tc>
          <w:tcPr>
            <w:tcW w:type="dxa" w:w="54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决定所谓池化收益是否真实产生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同负载同拓扑下是否仍劣化</w:t>
            </w:r>
          </w:p>
        </w:tc>
        <w:tc>
          <w:tcPr>
            <w:tcW w:type="dxa" w:w="54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排除DP/TP、路由、缓存残留和压测口径混杂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单点修正是否恢复业务SLO且输出正确</w:t>
            </w:r>
          </w:p>
        </w:tc>
        <w:tc>
          <w:tcPr>
            <w:tcW w:type="dxa" w:w="5443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决定能否从“候选原因”升级为“根因已确认”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12.3 可用于后续汇报的结论</w:t>
      </w:r>
    </w:p>
    <w:p>
      <w:r>
        <w:t>KS问题应定义为“GLM-5在客户Mooncake与HIXL部署中，启用客户所称的KV池化后，与PP组合出现性能退化；具体池化路径及根因待现场确认”。公开源码不支持池化与PP存在必然结构冲突；公开相似故障和修复将排查重点指向PP阶段写池及保存同步、分片与完成协议、有效复用和传输资源竞争。原LMCache实验方案需要修正技术路线和对照条件，不能直接用于客户结案。完成现场版本核对与受控对照后，才能确定具体补丁、配置改动及实际收益。</w:t>
      </w:r>
    </w:p>
    <w:p>
      <w:pPr>
        <w:pStyle w:val="Heading1"/>
        <w:pageBreakBefore/>
      </w:pPr>
      <w:r>
        <w:t>13 版本和证据索引</w:t>
      </w:r>
    </w:p>
    <w:p>
      <w:pPr>
        <w:pStyle w:val="Heading2"/>
      </w:pPr>
      <w:r>
        <w:t>13.1 本次源码快照</w:t>
      </w:r>
    </w:p>
    <w:p>
      <w:r>
        <w:t>仓库位于当前工作区的repos目录，仅浅克隆和读取，未改源码、安装依赖或启动服务。以下提交用于固定本报告的源码证据，不代表客户所用版本。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84"/>
        <w:gridCol w:w="3685"/>
        <w:gridCol w:w="3969"/>
      </w:tblGrid>
      <w:tr>
        <w:trPr>
          <w:cantSplit/>
          <w:tblHeader/>
        </w:trPr>
        <w:tc>
          <w:tcPr>
            <w:tcW w:type="dxa" w:w="1984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仓库</w:t>
            </w:r>
          </w:p>
        </w:tc>
        <w:tc>
          <w:tcPr>
            <w:tcW w:type="dxa" w:w="3685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检出分支和提交</w:t>
            </w:r>
          </w:p>
        </w:tc>
        <w:tc>
          <w:tcPr>
            <w:tcW w:type="dxa" w:w="3969"/>
            <w:vAlign w:val="center"/>
            <w:shd w:fill="E8EEF3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额外核对版本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Mooncake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 xml:space="preserve">main </w:t>
            </w:r>
            <w:hyperlink r:id="rId38">
              <w:r>
                <w:rPr>
                  <w:color w:val="245D80"/>
                  <w:rFonts w:ascii="Microsoft YaHei" w:eastAsia="Microsoft YaHei"/>
                  <w:sz w:val="19"/>
                </w:rPr>
                <w:t>0d1a8040faeb</w:t>
              </w:r>
            </w:hyperlink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相关PR及聊天前后变更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vllm-ascend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 xml:space="preserve">main </w:t>
            </w:r>
            <w:hyperlink r:id="rId39">
              <w:r>
                <w:rPr>
                  <w:color w:val="245D80"/>
                  <w:rFonts w:ascii="Microsoft YaHei" w:eastAsia="Microsoft YaHei"/>
                  <w:sz w:val="19"/>
                </w:rPr>
                <w:t>4ebb3090fc3c</w:t>
              </w:r>
            </w:hyperlink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相关issue、PR和合并时间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LMCache-Ascend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 xml:space="preserve">main </w:t>
            </w:r>
            <w:hyperlink r:id="rId40">
              <w:r>
                <w:rPr>
                  <w:color w:val="245D80"/>
                  <w:rFonts w:ascii="Microsoft YaHei" w:eastAsia="Microsoft YaHei"/>
                  <w:sz w:val="19"/>
                </w:rPr>
                <w:t>19c13d849d6b</w:t>
              </w:r>
            </w:hyperlink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 xml:space="preserve">v0.4.4 </w:t>
            </w:r>
            <w:hyperlink r:id="rId41">
              <w:r>
                <w:rPr>
                  <w:color w:val="245D80"/>
                  <w:rFonts w:ascii="Microsoft YaHei" w:eastAsia="Microsoft YaHei"/>
                  <w:sz w:val="19"/>
                </w:rPr>
                <w:t>d241090322ea</w:t>
              </w:r>
            </w:hyperlink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LMCache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 xml:space="preserve">dev </w:t>
            </w:r>
            <w:hyperlink r:id="rId42">
              <w:r>
                <w:rPr>
                  <w:color w:val="245D80"/>
                  <w:rFonts w:ascii="Microsoft YaHei" w:eastAsia="Microsoft YaHei"/>
                  <w:sz w:val="19"/>
                </w:rPr>
                <w:t>4abc421a55cc</w:t>
              </w:r>
            </w:hyperlink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 xml:space="preserve">v0.4.4 </w:t>
            </w:r>
            <w:hyperlink r:id="rId43">
              <w:r>
                <w:rPr>
                  <w:color w:val="245D80"/>
                  <w:rFonts w:ascii="Microsoft YaHei" w:eastAsia="Microsoft YaHei"/>
                  <w:sz w:val="19"/>
                </w:rPr>
                <w:t>6fbec463e3c0</w:t>
              </w:r>
            </w:hyperlink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vLLM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>通过官方源码核对rank语义，未另行克隆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10" w:type="dxa"/>
              <w:right w:w="110" w:type="dxa"/>
            </w:tcMar>
          </w:tcPr>
          <w:p>
            <w:pPr>
              <w:spacing w:after="0" w:line="270" w:lineRule="exact"/>
            </w:pPr>
            <w:r>
              <w:rPr>
                <w:b w:val="0"/>
                <w:sz w:val="19"/>
              </w:rPr>
            </w:r>
            <w:r>
              <w:rPr>
                <w:sz w:val="19"/>
              </w:rPr>
              <w:t xml:space="preserve">v0.18.0 </w:t>
            </w:r>
            <w:hyperlink r:id="rId44">
              <w:r>
                <w:rPr>
                  <w:color w:val="245D80"/>
                  <w:rFonts w:ascii="Microsoft YaHei" w:eastAsia="Microsoft YaHei"/>
                  <w:sz w:val="19"/>
                </w:rPr>
                <w:t>bcf2be961200</w:t>
              </w:r>
            </w:hyperlink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13.2 工作区材料</w:t>
      </w:r>
    </w:p>
    <w:p>
      <w:pPr>
        <w:ind w:left="170" w:hanging="170"/>
      </w:pPr>
      <w:r>
        <w:t>• research/01_独立分析_原始背景.md：先于对比整理稿形成的独立判断。</w:t>
      </w:r>
    </w:p>
    <w:p>
      <w:pPr>
        <w:ind w:left="170" w:hanging="170"/>
      </w:pPr>
      <w:r>
        <w:t>• research/02_Mooncake代码核对.md：Store、Transfer Engine、HIXL及fabric相关证据。</w:t>
      </w:r>
    </w:p>
    <w:p>
      <w:pPr>
        <w:ind w:left="170" w:hanging="170"/>
      </w:pPr>
      <w:r>
        <w:t>• research/03_LMCache代码证据审查.md：E1至E8、first-rank风险、配置和版本核查。</w:t>
      </w:r>
    </w:p>
    <w:p>
      <w:pPr>
        <w:ind w:left="170" w:hanging="170"/>
      </w:pPr>
      <w:r>
        <w:t>• research/04_vllmAscend链路审查.md：客户候选connector、PP支持、公开故障与修复时间线。</w:t>
      </w:r>
    </w:p>
    <w:p>
      <w:pPr>
        <w:ind w:left="170" w:hanging="170"/>
      </w:pPr>
      <w:r>
        <w:t>• research/05_实验设计独立审查.md：变量控制、指标与交互效应方法。</w:t>
      </w:r>
    </w:p>
    <w:p>
      <w:pPr>
        <w:ind w:left="170" w:hanging="170"/>
      </w:pPr>
      <w:r>
        <w:t>• output/KS问题背景整理.docx：第一批4张截图的背景整理。</w:t>
      </w:r>
    </w:p>
    <w:p>
      <w:pPr>
        <w:ind w:left="170" w:hanging="170"/>
      </w:pPr>
      <w:r>
        <w:t>• output/KS问题分析与实验方案_完整整理.docx：第二批12张截图的完整整理。</w:t>
      </w:r>
    </w:p>
    <w:p>
      <w:r>
        <w:t>正文中的蓝色来源链接指向官方固定提交、公开issue或PR。客户原始附件的事实以用户截图为来源；未从文件名推测文件正文，未把仓库自述的测试结果当作本次硬件验证。</w:t>
      </w:r>
    </w:p>
    <w:p>
      <w:pPr>
        <w:pStyle w:val="Heading2"/>
      </w:pPr>
      <w:r>
        <w:t>13.3 证据分级</w:t>
      </w:r>
    </w:p>
    <w:p>
      <w:r>
        <w:t>“聊天明确陈述”用于确认客户反馈与材料入口；“固定源码确认”用于确认特定版本的接口和分支；“上游问题或修复”用于提高候选路径优先级；“分析推断”用于提出可检验机制；“客户实测”目前缺失。最终报告按这一边界使用证据，没有以推断替代现场结论。</w:t>
      </w:r>
    </w:p>
    <w:sectPr w:rsidR="00FC693F" w:rsidRPr="0006063C" w:rsidSect="00034616">
      <w:footerReference w:type="default" r:id="rId45"/>
      <w:pgSz w:w="11906" w:h="16838"/>
      <w:pgMar w:top="1049" w:right="1134" w:bottom="1020" w:left="1134" w:header="72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4" w:lineRule="exact" w:after="140"/>
      <w:snapToGrid w:val="0"/>
    </w:pPr>
    <w:rPr>
      <w:rFonts w:ascii="Microsoft YaHei" w:hAnsi="Microsoft YaHei" w:eastAsia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435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333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667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90" w:lineRule="exact" w:after="120"/>
      <w:snapToGrid w:val="0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llm-project/vllm-ascend/blob/4ebb3090fc3c13c26557dcaae353882e70246649/docs/source/user_guide/feature_guide/kv_pool.md#L5-L9" TargetMode="External"/><Relationship Id="rId10" Type="http://schemas.openxmlformats.org/officeDocument/2006/relationships/hyperlink" Target="https://github.com/kvcache-ai/Mooncake/blob/0d1a8040faebb7c127c8901840a38c2ff57e80c5/mooncake-store/include/pyclient.h#L382-L410" TargetMode="External"/><Relationship Id="rId11" Type="http://schemas.openxmlformats.org/officeDocument/2006/relationships/hyperlink" Target="https://github.com/kvcache-ai/Mooncake/blob/0d1a8040faebb7c127c8901840a38c2ff57e80c5/mooncake-transfer-engine/include/transport/transport.h#L60-L80" TargetMode="External"/><Relationship Id="rId12" Type="http://schemas.openxmlformats.org/officeDocument/2006/relationships/hyperlink" Target="https://github.com/vllm-project/vllm-ascend/blob/4ebb3090fc3c13c26557dcaae353882e70246649/vllm_ascend/distributed/kv_transfer/kv_pool/ascend_store/metadata.py#L120-L163" TargetMode="External"/><Relationship Id="rId13" Type="http://schemas.openxmlformats.org/officeDocument/2006/relationships/hyperlink" Target="https://github.com/vllm-project/vllm-ascend/blob/4ebb3090fc3c13c26557dcaae353882e70246649/vllm_ascend/distributed/kv_transfer/kv_pool/ascend_store/pool_worker.py#L963-L987" TargetMode="External"/><Relationship Id="rId14" Type="http://schemas.openxmlformats.org/officeDocument/2006/relationships/hyperlink" Target="https://github.com/vllm-project/vllm-ascend/blob/4ebb3090fc3c13c26557dcaae353882e70246649/vllm_ascend/distributed/kv_transfer/kv_p2p/mooncake_connector.py#L2222-L2242" TargetMode="External"/><Relationship Id="rId15" Type="http://schemas.openxmlformats.org/officeDocument/2006/relationships/hyperlink" Target="https://github.com/vllm-project/vllm-ascend/blob/4ebb3090fc3c13c26557dcaae353882e70246649/vllm_ascend/distributed/kv_transfer/kv_pool/ascend_store/backend/mooncake_layerwise.py#L177-L198" TargetMode="External"/><Relationship Id="rId16" Type="http://schemas.openxmlformats.org/officeDocument/2006/relationships/hyperlink" Target="https://github.com/kvcache-ai/Mooncake/blob/0d1a8040faebb7c127c8901840a38c2ff57e80c5/mooncake-transfer-engine/src/transport/ascend_transport/ascend_direct_transport/ascend_direct_transport.cpp#L187-L201" TargetMode="External"/><Relationship Id="rId17" Type="http://schemas.openxmlformats.org/officeDocument/2006/relationships/hyperlink" Target="https://github.com/vllm-project/vllm-ascend/issues/11478" TargetMode="External"/><Relationship Id="rId18" Type="http://schemas.openxmlformats.org/officeDocument/2006/relationships/hyperlink" Target="https://github.com/vllm-project/vllm-ascend/pull/15636" TargetMode="External"/><Relationship Id="rId19" Type="http://schemas.openxmlformats.org/officeDocument/2006/relationships/hyperlink" Target="https://github.com/vllm-project/vllm-ascend/pull/12763" TargetMode="External"/><Relationship Id="rId20" Type="http://schemas.openxmlformats.org/officeDocument/2006/relationships/hyperlink" Target="https://github.com/vllm-project/vllm-ascend/pull/17183" TargetMode="External"/><Relationship Id="rId21" Type="http://schemas.openxmlformats.org/officeDocument/2006/relationships/hyperlink" Target="https://github.com/vllm-project/vllm-ascend/pull/17246" TargetMode="External"/><Relationship Id="rId22" Type="http://schemas.openxmlformats.org/officeDocument/2006/relationships/hyperlink" Target="https://github.com/kvcache-ai/Mooncake/pull/3955" TargetMode="External"/><Relationship Id="rId23" Type="http://schemas.openxmlformats.org/officeDocument/2006/relationships/hyperlink" Target="https://github.com/kvcache-ai/Mooncake/pull/4286" TargetMode="External"/><Relationship Id="rId24" Type="http://schemas.openxmlformats.org/officeDocument/2006/relationships/hyperlink" Target="https://github.com/LMCache/LMCache-Ascend/blob/19c13d849d6bcdea6316cdd8674fae210b3326f4/lmcache_ascend/v1/storage_backend/__init__.py#L69-L112" TargetMode="External"/><Relationship Id="rId25" Type="http://schemas.openxmlformats.org/officeDocument/2006/relationships/hyperlink" Target="https://github.com/LMCache/LMCache-Ascend/blob/19c13d849d6bcdea6316cdd8674fae210b3326f4/lmcache_ascend/integration/vllm/vllm_v1_adapter.py#L68-L121" TargetMode="External"/><Relationship Id="rId26" Type="http://schemas.openxmlformats.org/officeDocument/2006/relationships/hyperlink" Target="https://github.com/LMCache/LMCache/blob/6fbec463e3c047fffb4e22c97508f03b057de3bc/lmcache/utils.py#L15-L27" TargetMode="External"/><Relationship Id="rId27" Type="http://schemas.openxmlformats.org/officeDocument/2006/relationships/hyperlink" Target="https://github.com/LMCache/LMCache/blob/6fbec463e3c047fffb4e22c97508f03b057de3bc/lmcache/integration/vllm/vllm_v1_adapter.py#L1174-L1193" TargetMode="External"/><Relationship Id="rId28" Type="http://schemas.openxmlformats.org/officeDocument/2006/relationships/hyperlink" Target="https://github.com/LMCache/LMCache/blob/6fbec463e3c047fffb4e22c97508f03b057de3bc/lmcache/v1/lookup_client/lmcache_lookup_client.py#L131-L150" TargetMode="External"/><Relationship Id="rId29" Type="http://schemas.openxmlformats.org/officeDocument/2006/relationships/hyperlink" Target="https://github.com/LMCache/LMCache/blob/6fbec463e3c047fffb4e22c97508f03b057de3bc/lmcache/integration/vllm/vllm_service_factory.py#L145-L215" TargetMode="External"/><Relationship Id="rId30" Type="http://schemas.openxmlformats.org/officeDocument/2006/relationships/hyperlink" Target="https://github.com/LMCache/LMCache/blob/6fbec463e3c047fffb4e22c97508f03b057de3bc/lmcache/v1/metadata.py#L53-L70" TargetMode="External"/><Relationship Id="rId31" Type="http://schemas.openxmlformats.org/officeDocument/2006/relationships/hyperlink" Target="https://github.com/vllm-project/vllm/blob/bcf2be96120005e9aea171927f85055a6a5c0cf6/vllm/distributed/parallel_state.py#L593-L605" TargetMode="External"/><Relationship Id="rId32" Type="http://schemas.openxmlformats.org/officeDocument/2006/relationships/hyperlink" Target="https://github.com/vllm-project/vllm/blob/bcf2be96120005e9aea171927f85055a6a5c0cf6/vllm/distributed/parallel_state.py#L1538-L1569" TargetMode="External"/><Relationship Id="rId33" Type="http://schemas.openxmlformats.org/officeDocument/2006/relationships/hyperlink" Target="https://github.com/LMCache/LMCache/blob/6fbec463e3c047fffb4e22c97508f03b057de3bc/lmcache/v1/config.py#L131-L135" TargetMode="External"/><Relationship Id="rId34" Type="http://schemas.openxmlformats.org/officeDocument/2006/relationships/hyperlink" Target="https://github.com/LMCache/LMCache-Ascend/blob/19c13d849d6bcdea6316cdd8674fae210b3326f4/examples/kv_cache_reuse/share_across_instances/p2p_sharing/instance1.yaml#L1-L25" TargetMode="External"/><Relationship Id="rId35" Type="http://schemas.openxmlformats.org/officeDocument/2006/relationships/hyperlink" Target="https://github.com/LMCache/LMCache-Ascend/blob/19c13d849d6bcdea6316cdd8674fae210b3326f4/docs/recommended_deployment_guide/glm5.1/glm5.1-single-node-lmcache-deployment-guide-ddr-vs-hbm.md#L7-L63" TargetMode="External"/><Relationship Id="rId36" Type="http://schemas.openxmlformats.org/officeDocument/2006/relationships/hyperlink" Target="https://www.itl.nist.gov/div898/handbook/pri/section5/pri594.htm" TargetMode="External"/><Relationship Id="rId37" Type="http://schemas.openxmlformats.org/officeDocument/2006/relationships/hyperlink" Target="https://docs.vllm.ai/en/latest/benchmarking/cli/" TargetMode="External"/><Relationship Id="rId38" Type="http://schemas.openxmlformats.org/officeDocument/2006/relationships/hyperlink" Target="https://github.com/kvcache-ai/Mooncake/commit/0d1a8040faebb7c127c8901840a38c2ff57e80c5" TargetMode="External"/><Relationship Id="rId39" Type="http://schemas.openxmlformats.org/officeDocument/2006/relationships/hyperlink" Target="https://github.com/vllm-project/vllm-ascend/commit/4ebb3090fc3c13c26557dcaae353882e70246649" TargetMode="External"/><Relationship Id="rId40" Type="http://schemas.openxmlformats.org/officeDocument/2006/relationships/hyperlink" Target="https://github.com/LMCache/LMCache-Ascend/commit/19c13d849d6bcdea6316cdd8674fae210b3326f4" TargetMode="External"/><Relationship Id="rId41" Type="http://schemas.openxmlformats.org/officeDocument/2006/relationships/hyperlink" Target="https://github.com/LMCache/LMCache-Ascend/commit/d241090322eadfc39cd6f0003e86295010506080" TargetMode="External"/><Relationship Id="rId42" Type="http://schemas.openxmlformats.org/officeDocument/2006/relationships/hyperlink" Target="https://github.com/LMCache/LMCache/commit/4abc421a55ccd965f48c00592a2513cbc95c01fb" TargetMode="External"/><Relationship Id="rId43" Type="http://schemas.openxmlformats.org/officeDocument/2006/relationships/hyperlink" Target="https://github.com/LMCache/LMCache/commit/6fbec463e3c047fffb4e22c97508f03b057de3bc" TargetMode="External"/><Relationship Id="rId44" Type="http://schemas.openxmlformats.org/officeDocument/2006/relationships/hyperlink" Target="https://github.com/vllm-project/vllm/commit/bcf2be96120005e9aea171927f85055a6a5c0cf6" TargetMode="External"/><Relationship Id="rId4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KS推理服务问题最终分析</dc:title>
  <dc:subject>KV缓存池化与流水线并行的独立分析及源码核对</dc:subject>
  <dc:creator/>
  <cp:keywords>KS,GLM-5,PP,Mooncake,HIXL,LMCache-Ascend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