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272fb53cafa9ee5b31f044fd6afac40b8be18866.png"/>
            <a:graphic>
              <a:graphicData uri="http://schemas.openxmlformats.org/drawingml/2006/picture">
                <pic:pic>
                  <pic:nvPicPr>
                    <pic:cNvPr id="1" name="image-272fb53cafa9ee5b31f044fd6afac40b8be18866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如何評估組織的資訊資產以擬定範圍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評估組織的資訊資產以擬定ISO 27001的範圍，可以依照以下步驟進行：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資訊資產識別：列出組織擁有或控管的所有資訊資產，包括硬體設備、軟體系統、數據、文件、業務流程、人員及服務等。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資訊資產分類和價值評估：根據資產的機密性（Confidentiality）、完整性（Integrity）、可用性（Availability）以及適法性（Compliance）等標準，對資訊資產進行分類分級及價值評估。例如，機密性高的資產具有更嚴格的保護需求，完整性受損可能導致業務中斷，等等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風險識別與評估：評估各資產面臨的威脅、弱點及其影響，並估計風險等級，確定優先保護的目標資產。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確定權責單位：明確每項資訊資產的擁有者或管理者，確保責任明確，有利於後續管理和維護。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資產群組化：將類似屬性的資訊資產群組化，減少重複評估，簡化管理。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評估結果審議：將評估和分類結果報告給資安管理組織或高層，以取得支持與資源。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透過上述流程，組織能夠明確掌握資訊資產的範圍和重要性，進而定義符合資訊安全目標的ISMS範圍。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" w:name="fnref2"/>
      <w:bookmarkEnd w:id="1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簡言之，評估資訊資產需全面識別、分類及價值評估加風險分析，重點是機密性、完整性、可用性和法規遵循，最後確認資產責任與分組，作為範圍擬定的基礎。評估組織的資訊資產以擬定ISO 27001範圍，主要步驟包括：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識別所有資訊資產，涵蓋硬體、軟體、數據、流程、人員與服務等。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按機密性(Confidentiality)、完整性(Integrity)、可用性(Availability)及符合法規(Compliance)等標準，對這些資產進行分類與價值評估。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評估資產面臨的威脅、弱點與風險，確定需要重點保護的資產。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明確資訊資產擁有者與責任單位，促進管理和控制。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將類似資產群組化，簡化管理與風險評估程序。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將評估結果提交資安組織或管理層審議，確保支援與資源分配。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透過此程序，組織能明確界定ISMS涵蓋的資產範圍及其安全重點，確保資訊安全管理系統目標的有效實現。</w:t>
      </w:r>
      <w:bookmarkStart w:id="2" w:name="fnref2:1"/>
      <w:bookmarkEnd w:id="2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3" w:name="fnref1:1"/>
      <w:bookmarkEnd w:id="3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  <w:jc w:val="center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4" w:name="fn1"/>
    <w:bookmarkEnd w:id="4"/>
    <w:p>
      <w:pPr>
        <w:numPr>
          <w:ilvl w:val="0"/>
          <w:numId w:val="3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https://pims.ocu.edu.tw/ezfiles/47/1047/attach/43/pta_14382_1677305_10030.pdf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" w:name="fn2"/>
    <w:bookmarkEnd w:id="5"/>
    <w:p>
      <w:pPr>
        <w:numPr>
          <w:ilvl w:val="0"/>
          <w:numId w:val="3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http://webnas.bhes.ntpc.edu.tw/wordpress/wp-content/uploads/2020/12/資安風險管理與資產盤點探討.pdf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" w:name="fn3"/>
    <w:bookmarkEnd w:id="6"/>
    <w:p>
      <w:pPr>
        <w:numPr>
          <w:ilvl w:val="0"/>
          <w:numId w:val="3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https://www.itest.org.tw/PDF/202110Exam/ISK-110.pdf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" w:name="fn4"/>
    <w:bookmarkEnd w:id="7"/>
    <w:p>
      <w:pPr>
        <w:numPr>
          <w:ilvl w:val="0"/>
          <w:numId w:val="3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https://www.securityverse.tw/index.php/2023/03/29/elementor-610/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" w:name="fn5"/>
    <w:bookmarkEnd w:id="8"/>
    <w:p>
      <w:pPr>
        <w:numPr>
          <w:ilvl w:val="0"/>
          <w:numId w:val="3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https://www.freedom.net.tw/tech-blog/isms-guidance.html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" w:name="fn6"/>
    <w:bookmarkEnd w:id="9"/>
    <w:p>
      <w:pPr>
        <w:numPr>
          <w:ilvl w:val="0"/>
          <w:numId w:val="3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https://www.jcic.org.tw/main_ch/fileRename/fileRename.aspx?fid=512&amp;kid=1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" w:name="fn7"/>
    <w:bookmarkEnd w:id="10"/>
    <w:p>
      <w:pPr>
        <w:numPr>
          <w:ilvl w:val="0"/>
          <w:numId w:val="3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https://lic.cmu.edu.tw/isms_policy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" w:name="fn8"/>
    <w:bookmarkEnd w:id="11"/>
    <w:p>
      <w:pPr>
        <w:numPr>
          <w:ilvl w:val="0"/>
          <w:numId w:val="3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https://mojlaw.moj.gov.tw/LawContent.aspx?LSID=FL042960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" w:name="fn9"/>
    <w:bookmarkEnd w:id="12"/>
    <w:p>
      <w:pPr>
        <w:numPr>
          <w:ilvl w:val="0"/>
          <w:numId w:val="3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https://isms.ntu.edu.tw/001/Upload/1658/relfile/108386/256034/fdd44045-5246-4d97-8a54-7ee407cd00ea.pdf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" w:name="fn10"/>
    <w:bookmarkEnd w:id="13"/>
    <w:p>
      <w:pPr>
        <w:numPr>
          <w:ilvl w:val="0"/>
          <w:numId w:val="3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https://www.net.fju.edu.tw/file/ED-J-013-AT1.pdf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272fb53cafa9ee5b31f044fd6afac40b8be18866.png" TargetMode="Internal"/><Relationship Id="rId6" Type="http://schemas.openxmlformats.org/officeDocument/2006/relationships/hyperlink" Target="https://pims.ocu.edu.tw/ezfiles/47/1047/attach/43/pta_14382_1677305_10030.pdf" TargetMode="External"/><Relationship Id="rId7" Type="http://schemas.openxmlformats.org/officeDocument/2006/relationships/hyperlink" Target="http://webnas.bhes.ntpc.edu.tw/wordpress/wp-content/uploads/2020/12/%E8%B3%87%E5%AE%89%E9%A2%A8%E9%9A%AA%E7%AE%A1%E7%90%86%E8%88%87%E8%B3%87%E7%94%A2%E7%9B%A4%E9%BB%9E%E6%8E%A2%E8%A8%8E.pdf" TargetMode="External"/><Relationship Id="rId8" Type="http://schemas.openxmlformats.org/officeDocument/2006/relationships/hyperlink" Target="https://www.itest.org.tw/PDF/202110Exam/ISK-110.pdf" TargetMode="External"/><Relationship Id="rId9" Type="http://schemas.openxmlformats.org/officeDocument/2006/relationships/hyperlink" Target="https://www.securityverse.tw/index.php/2023/03/29/elementor-610/" TargetMode="External"/><Relationship Id="rId10" Type="http://schemas.openxmlformats.org/officeDocument/2006/relationships/hyperlink" Target="https://www.freedom.net.tw/tech-blog/isms-guidance.html" TargetMode="External"/><Relationship Id="rId11" Type="http://schemas.openxmlformats.org/officeDocument/2006/relationships/hyperlink" Target="https://www.jcic.org.tw/main_ch/fileRename/fileRename.aspx?fid=512&amp;kid=1" TargetMode="External"/><Relationship Id="rId12" Type="http://schemas.openxmlformats.org/officeDocument/2006/relationships/hyperlink" Target="https://lic.cmu.edu.tw/isms_policy" TargetMode="External"/><Relationship Id="rId13" Type="http://schemas.openxmlformats.org/officeDocument/2006/relationships/hyperlink" Target="https://mojlaw.moj.gov.tw/LawContent.aspx?LSID=FL042960" TargetMode="External"/><Relationship Id="rId14" Type="http://schemas.openxmlformats.org/officeDocument/2006/relationships/hyperlink" Target="https://isms.ntu.edu.tw/001/Upload/1658/relfile/108386/256034/fdd44045-5246-4d97-8a54-7ee407cd00ea.pdf" TargetMode="External"/><Relationship Id="rId15" Type="http://schemas.openxmlformats.org/officeDocument/2006/relationships/hyperlink" Target="https://www.net.fju.edu.tw/file/ED-J-013-AT1.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2025-09-19T06:55:08.850Z</dcterms:created>
  <dcterms:modified xsi:type="dcterms:W3CDTF">2025-09-19T06:55:08.850Z</dcterms:modified>
</cp:coreProperties>
</file>