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b/>
          <w:bCs/>
          <w:color w:val="1F3864"/>
          <w:sz w:val="40"/>
          <w:szCs w:val="40"/>
        </w:rPr>
        <w:t xml:space="preserve">测速线表面流速重建模型 V1 最终报告</w:t>
      </w:r>
    </w:p>
    <w:p>
      <w:pPr>
        <w:spacing w:after="80"/>
        <w:jc w:val="center"/>
      </w:pPr>
      <w:r>
        <w:rPr>
          <w:b/>
          <w:bCs/>
          <w:color w:val="2E5496"/>
          <w:sz w:val="24"/>
          <w:szCs w:val="24"/>
        </w:rPr>
        <w:t xml:space="preserve">物理正则版 vs 纯净基线（RoPE + 纯 L2）对照评测</w:t>
      </w:r>
    </w:p>
    <w:p>
      <w:pPr>
        <w:spacing w:after="260"/>
        <w:jc w:val="center"/>
      </w:pPr>
      <w:r>
        <w:rPr>
          <w:color w:val="595959"/>
          <w:sz w:val="19"/>
          <w:szCs w:val="19"/>
        </w:rPr>
        <w:t xml:space="preserve">2026-09-21  ·  数据 218,306 断面（221 站）· 站级分层划分  ·  测试集 40 站 / 182.4 万条测速线  ·  日志 runs/v1/journal.md</w:t>
      </w:r>
    </w:p>
    <w:tbl>
      <w:tblPr>
        <w:tblW w:type="dxa" w:w="9360"/>
        <w:tblBorders>
          <w:top w:val="single" w:color="2E5496" w:sz="12"/>
          <w:left w:val="single" w:color="2E5496" w:sz="12"/>
          <w:bottom w:val="single" w:color="2E5496" w:sz="12"/>
          <w:right w:val="single" w:color="2E5496" w:sz="1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摘  要</w:t>
            </w:r>
          </w:p>
          <w:p>
            <w:pPr>
              <w:spacing w:after="100" w:line="300"/>
            </w:pPr>
            <w:r>
              <w:rPr>
                <w:sz w:val="21"/>
                <w:szCs w:val="21"/>
              </w:rPr>
              <w:t xml:space="preserve">① </w:t>
            </w:r>
            <w:r>
              <w:rPr>
                <w:b/>
                <w:bCs/>
                <w:sz w:val="21"/>
                <w:szCs w:val="21"/>
              </w:rPr>
              <w:t xml:space="preserve">单一变量对照</w:t>
            </w:r>
            <w:r>
              <w:rPr>
                <w:sz w:val="21"/>
                <w:szCs w:val="21"/>
              </w:rPr>
              <w:t xml:space="preserve">：两版模型同架构（82.76M）、同数据（218,306 断面）、同站级分层划分，仅两处不同——物理版的形态偏置注意力 + MSE+五项物理正则，对照版的 RoPE 位置编码 + 纯 L2。</w:t>
            </w:r>
          </w:p>
          <w:p>
            <w:pPr>
              <w:spacing w:after="100" w:line="300"/>
            </w:pPr>
            <w:r>
              <w:rPr>
                <w:sz w:val="21"/>
                <w:szCs w:val="21"/>
              </w:rPr>
              <w:t xml:space="preserve">② </w:t>
            </w:r>
            <w:r>
              <w:rPr>
                <w:b/>
                <w:bCs/>
                <w:sz w:val="21"/>
                <w:szCs w:val="21"/>
              </w:rPr>
              <w:t xml:space="preserve">总体</w:t>
            </w:r>
            <w:r>
              <w:rPr>
                <w:sz w:val="21"/>
                <w:szCs w:val="21"/>
              </w:rPr>
              <w:t xml:space="preserve">：纯净版全面占优——RMSE 0.342 对 0.364（好 6.0%），NSE 0.835 对 0.814，bias 0.023 对 0.056；对原始观测中位数基线的 skill 0.553 对 0.524。</w:t>
            </w:r>
          </w:p>
          <w:p>
            <w:pPr>
              <w:spacing w:after="100" w:line="300"/>
            </w:pPr>
            <w:r>
              <w:rPr>
                <w:sz w:val="21"/>
                <w:szCs w:val="21"/>
              </w:rPr>
              <w:t xml:space="preserve">③ </w:t>
            </w:r>
            <w:r>
              <w:rPr>
                <w:b/>
                <w:bCs/>
                <w:sz w:val="21"/>
                <w:szCs w:val="21"/>
              </w:rPr>
              <w:t xml:space="preserve">误差结构</w:t>
            </w:r>
            <w:r>
              <w:rPr>
                <w:sz w:val="21"/>
                <w:szCs w:val="21"/>
              </w:rPr>
              <w:t xml:space="preserve">：物理版的回归趋中被证实并部分归因于物理正则——纯净版在低速段 [0.2,0.5) 的 bias 从 +0.164 降至 +0.073，高速段(≥2 m/s)严重低估占比从 18.4% 降至 15.3%，剧烈分歧（|误差|&gt;0.5 m/s）占比从 8.7% 降至 6.6%。</w:t>
            </w:r>
          </w:p>
          <w:p>
            <w:pPr>
              <w:spacing w:after="100" w:line="300"/>
            </w:pPr>
            <w:r>
              <w:rPr>
                <w:sz w:val="21"/>
                <w:szCs w:val="21"/>
              </w:rPr>
              <w:t xml:space="preserve">④ </w:t>
            </w:r>
            <w:r>
              <w:rPr>
                <w:b/>
                <w:bCs/>
                <w:sz w:val="21"/>
                <w:szCs w:val="21"/>
              </w:rPr>
              <w:t xml:space="preserve">物理先验的守护价值</w:t>
            </w:r>
            <w:r>
              <w:rPr>
                <w:sz w:val="21"/>
                <w:szCs w:val="21"/>
              </w:rPr>
              <w:t xml:space="preserve">：在观测薄弱的场景物理版反而更稳——零速枯水线 RMSE 0.199 对 0.252、光流-only 测次 RMSE 0.281 对 0.471。物理项充当了「观测不可信时的兜底先验」。</w:t>
            </w:r>
          </w:p>
          <w:p>
            <w:pPr>
              <w:spacing w:after="100" w:line="300"/>
            </w:pPr>
            <w:r>
              <w:rPr>
                <w:sz w:val="21"/>
                <w:szCs w:val="21"/>
              </w:rPr>
              <w:t xml:space="preserve">⑤ </w:t>
            </w:r>
            <w:r>
              <w:rPr>
                <w:b/>
                <w:bCs/>
                <w:sz w:val="21"/>
                <w:szCs w:val="21"/>
              </w:rPr>
              <w:t xml:space="preserve">共同短板</w:t>
            </w:r>
            <w:r>
              <w:rPr>
                <w:sz w:val="21"/>
                <w:szCs w:val="21"/>
              </w:rPr>
              <w:t xml:space="preserve">：两版的最优验证 epoch 都停在早期（ep26 / ep19）后进入长平台，且高速段（≥3 m/s）RMSE 均在 0.85+——高速与观测-目标矛盾样本是下一阶段的重点。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> </w:t>
      </w:r>
    </w:p>
    <w:p>
      <w:pPr>
        <w:pStyle w:val="Heading1"/>
        <w:spacing w:after="120" w:before="260"/>
      </w:pPr>
      <w:r>
        <w:t xml:space="preserve">一、任务与数据</w:t>
      </w:r>
    </w:p>
    <w:p>
      <w:pPr>
        <w:spacing w:after="100" w:line="300"/>
      </w:pPr>
      <w:r>
        <w:rPr>
          <w:sz w:val="21"/>
          <w:szCs w:val="21"/>
        </w:rPr>
        <w:t xml:space="preserve">模型从原始分段流速观测（STIV 30 秒视频段 / 光流区域估计）重建断面各测速线表面流速。数据池 </w:t>
      </w:r>
      <w:r>
        <w:rPr>
          <w:b/>
          <w:bCs/>
          <w:sz w:val="21"/>
          <w:szCs w:val="21"/>
        </w:rPr>
        <w:t xml:space="preserve">218,306 条质检通过断面</w:t>
      </w:r>
      <w:r>
        <w:rPr>
          <w:sz w:val="21"/>
          <w:szCs w:val="21"/>
        </w:rPr>
        <w:t xml:space="preserve">（221 站 / 254 设备，2024-09 – 2026-08 为主，reliability=1）。每断面测速线中位 35 条，每线原始观测中位 10 个。</w:t>
      </w:r>
    </w:p>
    <w:p>
      <w:pPr>
        <w:spacing w:after="100" w:line="300"/>
      </w:pPr>
      <w:r>
        <w:rPr>
          <w:sz w:val="21"/>
          <w:szCs w:val="21"/>
        </w:rPr>
        <w:t xml:space="preserve">划分采用</w:t>
      </w:r>
      <w:r>
        <w:rPr>
          <w:b/>
          <w:bCs/>
          <w:sz w:val="21"/>
          <w:szCs w:val="21"/>
        </w:rPr>
        <w:t xml:space="preserve">站级分层</w:t>
      </w:r>
      <w:r>
        <w:rPr>
          <w:sz w:val="21"/>
          <w:szCs w:val="21"/>
        </w:rPr>
        <w:t xml:space="preserve">（按站点均速分位切 10 层、层内 70/15/15），站间不相交。修正动因：随机站划分曾把偏快河段集中分入测试集（流速中位 0.737 对训练 0.429），分层后测试集中位回到 0.441。全库 25% 分位流速恰为 0，诊断为「枯水线」（98–100% 水深&lt;1cm）的真实物理规律，训练全部保留。</w:t>
      </w:r>
    </w:p>
    <w:p>
      <w:pPr>
        <w:pStyle w:val="Heading1"/>
        <w:spacing w:after="120" w:before="260"/>
      </w:pPr>
      <w:r>
        <w:t xml:space="preserve">二、两版设定（单一变量对照）</w:t>
      </w:r>
    </w:p>
    <w:tbl>
      <w:tblPr>
        <w:tblW w:type="dxa" w:w="9360"/>
        <w:tblBorders>
          <w:top w:val="single" w:color="2E5496" w:sz="6"/>
          <w:left w:val="single" w:color="BBBBBB" w:sz="2"/>
          <w:bottom w:val="single" w:color="2E5496" w:sz="6"/>
          <w:right w:val="single" w:color="BBBBBB" w:sz="2"/>
          <w:insideH w:val="single" w:color="CCCCCC" w:sz="2"/>
          <w:insideV w:val="single" w:color="CCCCCC" w:sz="2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3780"/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物理版（runs/v1）</w:t>
            </w:r>
          </w:p>
        </w:tc>
        <w:tc>
          <w:tcPr>
            <w:tcW w:type="dxa" w:w="3780"/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纯净版（runs/v1_mse）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注意力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形态偏置（线距/水深/岸别/坡度四个可学习 β）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vanilla attention + RoPE 位置编码（q/k 按绝对位置旋转）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损失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全断面 MSE + 五项物理正则（λ=0.05/0.02/0.01/0.02/0.01）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纯 L2（mse_only）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其余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同架构 82.76M（768/12/14/2304）、同分层划分、AdamW lr 5e-5、batch 32、100 epoch 预算、dropout 0、seed 42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实际停止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ep70 闸门触发（best 停在 ep26，44 epoch 无新最优），存档 attempt5_ep70gate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ep87 用户叫停（best 停在 ep19），检查点已留存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训练时长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约 9.5 h（490 s/epoch）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约 8 h（351 s/epoch）</w:t>
            </w:r>
          </w:p>
        </w:tc>
      </w:tr>
    </w:tbl>
    <w:p>
      <w:pPr>
        <w:pStyle w:val="Heading1"/>
        <w:spacing w:after="120" w:before="260"/>
      </w:pPr>
      <w:r>
        <w:t xml:space="preserve">三、总体结果</w:t>
      </w:r>
    </w:p>
    <w:p>
      <w:pPr>
        <w:spacing w:after="100" w:line="300"/>
      </w:pPr>
      <w:r>
        <w:rPr>
          <w:sz w:val="21"/>
          <w:szCs w:val="21"/>
        </w:rPr>
        <w:t xml:space="preserve">检查点取验证 RMSE 最优的 ep26（物理版）/ ep19（纯净版）。站级测试集（40 站、182.4 万条测速线，训练全程未见）总体：</w:t>
      </w:r>
      <w:r>
        <w:rPr>
          <w:b/>
          <w:bCs/>
          <w:sz w:val="21"/>
          <w:szCs w:val="21"/>
        </w:rPr>
        <w:t xml:space="preserve">物理版 RMSE 0.364 / NSE 0.814 / bias +0.056；纯净版 RMSE 0.342 / NSE 0.835 / bias +0.023</w:t>
      </w:r>
      <w:r>
        <w:rPr>
          <w:sz w:val="21"/>
          <w:szCs w:val="21"/>
        </w:rPr>
        <w:t xml:space="preserve">。</w:t>
      </w:r>
    </w:p>
    <w:p>
      <w:pPr>
        <w:spacing w:after="40" w:before="140"/>
        <w:jc w:val="center"/>
      </w:pPr>
      <w:r>
        <w:drawing>
          <wp:inline distT="0" distB="0" distL="0" distR="0">
            <wp:extent cx="40957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图 1  纯净版重建流速 vs 目标流速密度图（测试集全量 182 万线，对数色标）。主对角带紧密；虚线 y=x，灰带 ±0.3 m/s。</w:t>
      </w:r>
    </w:p>
    <w:tbl>
      <w:tblPr>
        <w:tblW w:type="dxa" w:w="9360"/>
        <w:tblBorders>
          <w:top w:val="single" w:color="2E5496" w:sz="6"/>
          <w:left w:val="single" w:color="BBBBBB" w:sz="2"/>
          <w:bottom w:val="single" w:color="2E5496" w:sz="6"/>
          <w:right w:val="single" w:color="BBBBBB" w:sz="2"/>
          <w:insideH w:val="single" w:color="CCCCCC" w:sz="2"/>
          <w:insideV w:val="single" w:color="CCCCCC" w:sz="2"/>
        </w:tblBorders>
      </w:tblPr>
      <w:tblGrid>
        <w:gridCol w:w="2600"/>
        <w:gridCol w:w="2250"/>
        <w:gridCol w:w="2250"/>
        <w:gridCol w:w="2260"/>
      </w:tblGrid>
      <w:tr>
        <w:tc>
          <w:tcPr>
            <w:tcW w:type="dxa" w:w="2600"/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2250"/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物理版</w:t>
            </w:r>
          </w:p>
        </w:tc>
        <w:tc>
          <w:tcPr>
            <w:tcW w:type="dxa" w:w="2250"/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纯净版</w:t>
            </w:r>
          </w:p>
        </w:tc>
        <w:tc>
          <w:tcPr>
            <w:tcW w:type="dxa" w:w="2260"/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原始中位数基线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RMSE (m/s)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0.364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0.342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0.764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MAE (m/s)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0.176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0.159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0.266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NSE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0.814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0.835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0.178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bias (m/s)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+0.056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+0.023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+0.020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skill vs 中位数基线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0.524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0.553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 w:line="300"/>
      </w:pPr>
      <w:r>
        <w:rPr>
          <w:sz w:val="21"/>
          <w:szCs w:val="21"/>
        </w:rPr>
        <w:t xml:space="preserve">两版都把「直接取原始观测中位数」的误差砍掉一半以上。纯净版总体 RMSE 再比物理版低 </w:t>
      </w:r>
      <w:r>
        <w:rPr>
          <w:b/>
          <w:bCs/>
          <w:sz w:val="21"/>
          <w:szCs w:val="21"/>
        </w:rPr>
        <w:t xml:space="preserve">6.0%</w:t>
      </w:r>
      <w:r>
        <w:rPr>
          <w:sz w:val="21"/>
          <w:szCs w:val="21"/>
        </w:rPr>
        <w:t xml:space="preserve">，且 bias 减半——去掉了物理正则对零速/低速的抬升效应后，整体预测更贴近目标。</w:t>
      </w:r>
    </w:p>
    <w:p>
      <w:pPr>
        <w:pStyle w:val="Heading1"/>
        <w:spacing w:after="120" w:before="260"/>
      </w:pPr>
      <w:r>
        <w:t xml:space="preserve">四、误差结构：分速度段拆解</w:t>
      </w:r>
    </w:p>
    <w:tbl>
      <w:tblPr>
        <w:tblW w:type="dxa" w:w="9360"/>
        <w:tblBorders>
          <w:top w:val="single" w:color="2E5496" w:sz="6"/>
          <w:left w:val="single" w:color="BBBBBB" w:sz="2"/>
          <w:bottom w:val="single" w:color="2E5496" w:sz="6"/>
          <w:right w:val="single" w:color="BBBBBB" w:sz="2"/>
          <w:insideH w:val="single" w:color="CCCCCC" w:sz="2"/>
          <w:insideV w:val="single" w:color="CCCCCC" w:sz="2"/>
        </w:tblBorders>
      </w:tblPr>
      <w:tblGrid>
        <w:gridCol w:w="2000"/>
        <w:gridCol w:w="1900"/>
        <w:gridCol w:w="1900"/>
        <w:gridCol w:w="1900"/>
        <w:gridCol w:w="1660"/>
      </w:tblGrid>
      <w:tr>
        <w:tc>
          <w:tcPr>
            <w:tcW w:type="dxa" w:w="2000"/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目标速度段</w:t>
            </w:r>
          </w:p>
        </w:tc>
        <w:tc>
          <w:tcPr>
            <w:tcW w:type="dxa" w:w="1900"/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RMSE 物理 / 纯净</w:t>
            </w:r>
          </w:p>
        </w:tc>
        <w:tc>
          <w:tcPr>
            <w:tcW w:type="dxa" w:w="1900"/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bias 物理 / 纯净</w:t>
            </w:r>
          </w:p>
        </w:tc>
        <w:tc>
          <w:tcPr>
            <w:tcW w:type="dxa" w:w="1900"/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线数</w:t>
            </w:r>
          </w:p>
        </w:tc>
        <w:tc>
          <w:tcPr>
            <w:tcW w:type="dxa" w:w="1660"/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占优方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[0, 0.2)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0.397 / 0.351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+0.132 / +0.112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318k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纯净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[0.2, 0.5)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0.304 / 0.223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+0.164 / +0.073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330k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纯净（大幅）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[0.5, 1)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0.204 / 0.205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+0.067 / +0.011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334k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纯净（bias）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[1, 2)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0.308 / 0.331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−0.060 / −0.089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313k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物理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[2, 3)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0.510 / 0.505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−0.208 / −0.164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107k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纯净（bias）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[3+)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0.849 / 0.885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−0.360 / −0.228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22k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物理</w:t>
            </w:r>
          </w:p>
        </w:tc>
      </w:tr>
    </w:tbl>
    <w:p>
      <w:pPr>
        <w:spacing w:after="100" w:line="300"/>
      </w:pPr>
      <w:r>
        <w:rPr>
          <w:sz w:val="21"/>
          <w:szCs w:val="21"/>
        </w:rPr>
        <w:t xml:space="preserve">用户此前的诊断「实测 0 处预测偏大、实测大处预测偏小」在物理版上完全成立，且</w:t>
      </w:r>
      <w:r>
        <w:rPr>
          <w:b/>
          <w:bCs/>
          <w:sz w:val="21"/>
          <w:szCs w:val="21"/>
        </w:rPr>
        <w:t xml:space="preserve">主要元凶是物理正则</w:t>
      </w:r>
      <w:r>
        <w:rPr>
          <w:sz w:val="21"/>
          <w:szCs w:val="21"/>
        </w:rPr>
        <w:t xml:space="preserve">：纯净版把 [0.2,0.5) 段的正偏置砍掉一半以上，高速段严重低估占比从 18.4% 降至 15.3%。但物理项并非一无是处——它把纯零速线的 RMSE 压到 0.199（纯净版 0.252，零速线平均预测 0.027 对 0.048），并显著改善光流-only 测次（0.281 对 0.471）。</w:t>
      </w:r>
    </w:p>
    <w:p>
      <w:pPr>
        <w:pStyle w:val="Heading1"/>
        <w:spacing w:after="120" w:before="260"/>
      </w:pPr>
      <w:r>
        <w:t xml:space="preserve">五、跨站 / 跨设备 / 分源泛化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图 2  物理版各测试站 RMSE（左，红=RMSE&gt;0.8）与 NSE（右，灰=近常数站指标退化，†标记）。两版跨站分布形态相似；纯净版中位 RMSE 0.263 更好，但 p90 0.677 更差。</w:t>
      </w:r>
    </w:p>
    <w:p>
      <w:pPr>
        <w:spacing w:after="100" w:line="300"/>
      </w:pPr>
      <w:r>
        <w:rPr>
          <w:sz w:val="21"/>
          <w:szCs w:val="21"/>
        </w:rPr>
        <w:t xml:space="preserve">站级中位：物理版 RMSE 0.289 / NSE 0.744；纯净版 RMSE 0.263 / NSE 0.637。纯净版中位 RMSE 更好但 </w:t>
      </w:r>
      <w:r>
        <w:rPr>
          <w:b/>
          <w:bCs/>
          <w:sz w:val="21"/>
          <w:szCs w:val="21"/>
        </w:rPr>
        <w:t xml:space="preserve">NSE 中位反而更低</w:t>
      </w:r>
      <w:r>
        <w:rPr>
          <w:sz w:val="21"/>
          <w:szCs w:val="21"/>
        </w:rPr>
        <w:t xml:space="preserve">，且 p90（0.677 对 0.464）更差——它的误差分布更两极：多数站更好，少数站（观测薄弱型）更差。最差站两版一致：站 00423（RMSE 1.14 / 1.17）与站 00156（0.98 / 1.03），后者即「原始观测 8+ m/s、目标 0.1」的观测-目标矛盾站（原始 STIV 超出河流物理上限，详见 journal）。</w:t>
      </w:r>
    </w:p>
    <w:p>
      <w:pPr>
        <w:spacing w:after="100" w:line="300"/>
      </w:pPr>
      <w:r>
        <w:rPr>
          <w:b/>
          <w:bCs/>
          <w:sz w:val="21"/>
          <w:szCs w:val="21"/>
        </w:rPr>
        <w:t xml:space="preserve">分源是两版最大的分野：</w:t>
      </w:r>
      <w:r>
        <w:rPr>
          <w:sz w:val="21"/>
          <w:szCs w:val="21"/>
        </w:rPr>
        <w:t xml:space="preserve">光流-only 测次物理版 RMSE 0.281 / NSE 0.846，纯净版 0.471 / 0.567。解释：物理版的形态偏置注意力把「水深、岸别、坡度」的结构先验直接注入注意力，在原始观测稀疏（光流-only 每线常只有 1 个估计）时兜底；纯净版只能依赖 RoPE 与嵌入里的形态通道，观测一弱就漂。STIV 测次（占 98.9%）纯净版反而更好（0.341 对 0.364）。</w:t>
      </w:r>
    </w:p>
    <w:p>
      <w:pPr>
        <w:pStyle w:val="Heading1"/>
        <w:spacing w:after="120" w:before="260"/>
      </w:pPr>
      <w:r>
        <w:t xml:space="preserve">六、断面重建案例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896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6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图 1  物理版：最好 / 中位 / 最差（观测-目标矛盾）/ 枯水 / 光流-only 五类断面。枯水区预测≈0，「没水→流速 0」规律已学会。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896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6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图 2  纯净版：同五类断面。低速段跟随更紧，但枯水区偶有 0.1–0.2 m/s 的虚增速（物理版没有）。</w:t>
      </w:r>
    </w:p>
    <w:p>
      <w:pPr>
        <w:pStyle w:val="Heading1"/>
        <w:spacing w:after="120" w:before="260"/>
      </w:pPr>
      <w:r>
        <w:t xml:space="preserve">七、结论</w:t>
      </w:r>
    </w:p>
    <w:p>
      <w:pPr>
        <w:spacing w:after="100" w:line="300"/>
      </w:pPr>
      <w:r>
        <w:rPr>
          <w:b/>
          <w:bCs/>
          <w:sz w:val="21"/>
          <w:szCs w:val="21"/>
        </w:rPr>
        <w:t xml:space="preserve">结论 1（损失函数）：</w:t>
      </w:r>
      <w:r>
        <w:rPr>
          <w:sz w:val="21"/>
          <w:szCs w:val="21"/>
        </w:rPr>
        <w:t xml:space="preserve">物理正则是回归趋中的直接成因之一。纯净版总体 RMSE 好 6%、bias 减半、剧烈分歧率从 8.7% 降到 6.6%——纯 L2 让模型对「该 0 就 0、该大就大」的响应更忠实。</w:t>
      </w:r>
    </w:p>
    <w:p>
      <w:pPr>
        <w:spacing w:after="100" w:line="300"/>
      </w:pPr>
      <w:r>
        <w:rPr>
          <w:b/>
          <w:bCs/>
          <w:sz w:val="21"/>
          <w:szCs w:val="21"/>
        </w:rPr>
        <w:t xml:space="preserve">结论 2（物理先验的两面性）：</w:t>
      </w:r>
      <w:r>
        <w:rPr>
          <w:sz w:val="21"/>
          <w:szCs w:val="21"/>
        </w:rPr>
        <w:t xml:space="preserve">物理正则在观测充足时是拖累（把预测拉向均值），在观测薄弱时是兜底（枯水线、光流-only 显著更稳）。它不是该不该要的问题，而是该在哪起作用的问题——作为无条件附加损失是错的，作为「观测置信度低时加大的自适应先验」可能是对的。</w:t>
      </w:r>
    </w:p>
    <w:p>
      <w:pPr>
        <w:spacing w:after="100" w:line="300"/>
      </w:pPr>
      <w:r>
        <w:rPr>
          <w:b/>
          <w:bCs/>
          <w:sz w:val="21"/>
          <w:szCs w:val="21"/>
        </w:rPr>
        <w:t xml:space="preserve">结论 3（共同瓶颈）：</w:t>
      </w:r>
      <w:r>
        <w:rPr>
          <w:sz w:val="21"/>
          <w:szCs w:val="21"/>
        </w:rPr>
        <w:t xml:space="preserve">两版最优验证 epoch 都停在早期（ep26/ep19）后进入长平台，且 [3+) 高速段 RMSE 均在 0.85+。瓶颈不在训练时长，而在高速样本稀少（占比 1.2%）与观测-目标矛盾样本。建议下一阶段：高速段过采样 / 分段损失加权 + 剧烈分歧集合人工复核。</w:t>
      </w:r>
    </w:p>
    <w:p>
      <w:pPr>
        <w:spacing w:after="100" w:line="300"/>
      </w:pPr>
      <w:r>
        <w:rPr>
          <w:b/>
          <w:bCs/>
          <w:sz w:val="21"/>
          <w:szCs w:val="21"/>
        </w:rPr>
        <w:t xml:space="preserve">结论 4（交付建议）：</w:t>
      </w:r>
      <w:r>
        <w:rPr>
          <w:sz w:val="21"/>
          <w:szCs w:val="21"/>
        </w:rPr>
        <w:t xml:space="preserve">以纯净版为主模型（总体与分歧率全面占优、结构干净无手工先验）；对光流-only 与疑似枯水断面叠加物理版或物理先验做二段校验；两版分歧集合（合计约 6–9% 线）进入人工复核队列。</w:t>
      </w:r>
    </w:p>
    <w:p>
      <w:pPr>
        <w:pStyle w:val="Heading1"/>
        <w:spacing w:after="120" w:before="260"/>
      </w:pPr>
      <w:r>
        <w:t xml:space="preserve">附录 A  评测口径</w:t>
      </w:r>
    </w:p>
    <w:p>
      <w:pPr>
        <w:spacing w:after="100" w:line="300"/>
      </w:pPr>
      <w:r>
        <w:rPr>
          <w:sz w:val="21"/>
          <w:szCs w:val="21"/>
        </w:rPr>
        <w:t xml:space="preserve">测试集为 40 个训练全程未见的站、45,118 断面、1,824,298 条测速线。基线为逐线原始观测中位数（raw_median）与截断均值（raw_clip_mean），均不含置信度信息，与模型输入口径一致。零速线指目标恰为 0 的线（枯水物理）；高速线指目标 ≥2 m/s；剧烈分歧指 |预测−目标| &gt; 0.5 m/s。目标 std &lt; 0.1 m/s 的近常数站 NSE 退化，只报 RMSE。</w:t>
      </w:r>
    </w:p>
    <w:p>
      <w:pPr>
        <w:spacing w:before="200"/>
      </w:pPr>
      <w:r>
        <w:rPr>
          <w:i/>
          <w:iCs/>
          <w:color w:val="595959"/>
          <w:sz w:val="19"/>
          <w:szCs w:val="19"/>
        </w:rPr>
        <w:t xml:space="preserve">报告与全部中间产物见 runs/v1/ 与 runs/v1_mse/：journal.md（完整决策与事故日志）、history.json（逐 epoch 指标）、comparison.json（对比明细）、metrics_test_*.json（含基线）、gen_*_final.json（泛化明细）、report_figs/（图件）。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065116ed83e59a04d22ece93ceb183e9068ecf.png"/><Relationship Id="rId8" Type="http://schemas.openxmlformats.org/officeDocument/2006/relationships/image" Target="media/9f16dfa4339cc6e67413a32eaa483c829ad5b438.png"/><Relationship Id="rId9" Type="http://schemas.openxmlformats.org/officeDocument/2006/relationships/image" Target="media/7e6eef503a4e7d60e479bb55e9d21154edefb2db.png"/><Relationship Id="rId10" Type="http://schemas.openxmlformats.org/officeDocument/2006/relationships/image" Target="media/930de88a03c3d2c504311f06bfac1cdb4ca9f98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2026-09-21T04:01:32.347Z</dcterms:created>
  <dcterms:modified xsi:type="dcterms:W3CDTF">2026-09-21T04:01:32.348Z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