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</w:t>
      </w:r>
    </w:p>
    <w:p>
      <w:pPr>
        <w:pStyle w:val="Subtitle"/>
      </w:pPr>
      <w:r>
        <w:t xml:space="preserve">Модель конкуренции двух фирм</w:t>
      </w:r>
    </w:p>
    <w:p>
      <w:pPr>
        <w:pStyle w:val="Author"/>
      </w:pPr>
      <w:r>
        <w:t xml:space="preserve">Чистов Даниил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изучение модели конкуренции двух фирм, построение динамики изменения оборотных средств конкурирующих компаний, анализ двух случаев конкурентного взаимодействия и нахождение стационарного состояния системы для первого случая.</w:t>
      </w:r>
    </w:p>
    <w:bookmarkEnd w:id="20"/>
    <w:bookmarkStart w:id="21" w:name="задания"/>
    <w:p>
      <w:pPr>
        <w:pStyle w:val="Heading1"/>
      </w:pPr>
      <w:r>
        <w:t xml:space="preserve">2. Задания</w:t>
      </w:r>
    </w:p>
    <w:p>
      <w:pPr>
        <w:pStyle w:val="Compact"/>
        <w:numPr>
          <w:ilvl w:val="0"/>
          <w:numId w:val="1001"/>
        </w:numPr>
      </w:pPr>
      <w:r>
        <w:t xml:space="preserve">Придумать свой пример двух конкурирующих фирм с идентичным товаром. Задать начальные значения и известные составляющие. Построить графики изменения объемов оборотных средств каждой фирмы. Рассмотреть два случая.</w:t>
      </w:r>
    </w:p>
    <w:p>
      <w:pPr>
        <w:pStyle w:val="Compact"/>
        <w:numPr>
          <w:ilvl w:val="0"/>
          <w:numId w:val="1001"/>
        </w:numPr>
      </w:pPr>
      <w:r>
        <w:t xml:space="preserve">Проанализировать полученные результаты.</w:t>
      </w:r>
    </w:p>
    <w:p>
      <w:pPr>
        <w:pStyle w:val="Compact"/>
        <w:numPr>
          <w:ilvl w:val="0"/>
          <w:numId w:val="1001"/>
        </w:numPr>
      </w:pPr>
      <w:r>
        <w:t xml:space="preserve">Найти стационарное состояние системы для первого случая</w:t>
      </w:r>
    </w:p>
    <w:bookmarkEnd w:id="21"/>
    <w:bookmarkStart w:id="37" w:name="выполнение-работы"/>
    <w:p>
      <w:pPr>
        <w:pStyle w:val="Heading1"/>
      </w:pPr>
      <w:r>
        <w:t xml:space="preserve">3. Выполнение работы</w:t>
      </w:r>
    </w:p>
    <w:bookmarkStart w:id="22" w:name="постановка-задачи"/>
    <w:p>
      <w:pPr>
        <w:pStyle w:val="Heading2"/>
      </w:pPr>
      <w:r>
        <w:t xml:space="preserve">3.1 Постановка задачи</w:t>
      </w:r>
    </w:p>
    <w:p>
      <w:pPr>
        <w:pStyle w:val="FirstParagraph"/>
      </w:pPr>
      <w:r>
        <w:t xml:space="preserve">В качестве примера двух конкурирующих фирм было придумано две сети фастфуда, которые работают в одной рыночной нише и предлагают взаимозаменяемый товар. Первая сеть называется FastBurger, вторая сеть называется BurgerPoint. Предполагается, что обе сети продают похожий продукт, например бургеры или комбо-обеды, поэтому потребители могут выбирать между ними без существенной разницы в качестве товара.</w:t>
      </w:r>
    </w:p>
    <w:p>
      <w:pPr>
        <w:pStyle w:val="BodyText"/>
      </w:pPr>
      <w:r>
        <w:t xml:space="preserve">Для выполнения работы необходимо рассмотреть два случая:</w:t>
      </w:r>
    </w:p>
    <w:p>
      <w:pPr>
        <w:pStyle w:val="Compact"/>
        <w:numPr>
          <w:ilvl w:val="0"/>
          <w:numId w:val="1002"/>
        </w:numPr>
      </w:pPr>
      <w:r>
        <w:t xml:space="preserve">обычная рыночная конкуренция, при которой фирмы конкурируют за счёт экономических параметров;</w:t>
      </w:r>
    </w:p>
    <w:p>
      <w:pPr>
        <w:pStyle w:val="Compact"/>
        <w:numPr>
          <w:ilvl w:val="0"/>
          <w:numId w:val="1002"/>
        </w:numPr>
      </w:pPr>
      <w:r>
        <w:t xml:space="preserve">конкуренция с дополнительным социально-психологическим фактором, при котором одна фирма получает преимущество за счёт бренда, рекламы или лояльности потребителей.</w:t>
      </w:r>
    </w:p>
    <w:bookmarkEnd w:id="22"/>
    <w:bookmarkStart w:id="23" w:name="параметры-модели"/>
    <w:p>
      <w:pPr>
        <w:pStyle w:val="Heading2"/>
      </w:pPr>
      <w:r>
        <w:t xml:space="preserve">3.2 Параметры модели</w:t>
      </w:r>
    </w:p>
    <w:p>
      <w:pPr>
        <w:pStyle w:val="FirstParagraph"/>
      </w:pPr>
      <w:r>
        <w:t xml:space="preserve">Для собственного примера были выбраны следующие параметры: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p_cr = 25</w:t>
      </w:r>
      <w:r>
        <w:t xml:space="preserve"> </w:t>
      </w:r>
      <w:r>
        <w:t xml:space="preserve">— критическая цена товара;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tau1 = 8</w:t>
      </w:r>
      <w:r>
        <w:t xml:space="preserve"> </w:t>
      </w:r>
      <w:r>
        <w:t xml:space="preserve">— длительность производственного цикла первой фирмы;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tau2 = 12</w:t>
      </w:r>
      <w:r>
        <w:t xml:space="preserve"> </w:t>
      </w:r>
      <w:r>
        <w:t xml:space="preserve">— длительность производственного цикла второй фирмы;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p1 = 10</w:t>
      </w:r>
      <w:r>
        <w:t xml:space="preserve"> </w:t>
      </w:r>
      <w:r>
        <w:t xml:space="preserve">— себестоимость товара первой фирмы;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p2 = 8</w:t>
      </w:r>
      <w:r>
        <w:t xml:space="preserve"> </w:t>
      </w:r>
      <w:r>
        <w:t xml:space="preserve">— себестоимость товара второй фирмы;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 = 12</w:t>
      </w:r>
      <w:r>
        <w:t xml:space="preserve"> </w:t>
      </w:r>
      <w:r>
        <w:t xml:space="preserve">— число потенциальных потребителей, тыс.;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q = 1</w:t>
      </w:r>
      <w:r>
        <w:t xml:space="preserve"> </w:t>
      </w:r>
      <w:r>
        <w:t xml:space="preserve">— максимальная потребность одного потребителя в продукте;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M10 = 2.0</w:t>
      </w:r>
      <w:r>
        <w:t xml:space="preserve"> </w:t>
      </w:r>
      <w:r>
        <w:t xml:space="preserve">— начальные оборотные средства первой фирмы, млн. усл. ед.;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M20 = 1.5</w:t>
      </w:r>
      <w:r>
        <w:t xml:space="preserve"> </w:t>
      </w:r>
      <w:r>
        <w:t xml:space="preserve">— начальные оборотные средства второй фирмы, млн. усл. ед.</w:t>
      </w:r>
    </w:p>
    <w:p>
      <w:pPr>
        <w:pStyle w:val="FirstParagraph"/>
      </w:pPr>
      <w:r>
        <w:t xml:space="preserve">Первая сеть фастфуда имеет более короткий цикл оборота, то есть быстрее масштабируется. При этом её себестоимость выше. Вторая сеть работает медленнее, но имеет меньшую себестоимость продукта.</w:t>
      </w:r>
    </w:p>
    <w:bookmarkEnd w:id="23"/>
    <w:bookmarkStart w:id="24" w:name="реализация-модели-на-julia"/>
    <w:p>
      <w:pPr>
        <w:pStyle w:val="Heading2"/>
      </w:pPr>
      <w:r>
        <w:t xml:space="preserve">3.3 Реализация модели на Julia</w:t>
      </w:r>
    </w:p>
    <w:p>
      <w:pPr>
        <w:pStyle w:val="FirstParagraph"/>
      </w:pPr>
      <w:r>
        <w:t xml:space="preserve">Для численного решения системы дифференциальных уравнений используется язык Julia. Ниже приведён основной код для расчёта параметров модели, решения двух систем и построения графиков.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NormalTok"/>
        </w:rPr>
        <w:t xml:space="preserve">p_cr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</w:t>
      </w:r>
      <w:r>
        <w:br/>
      </w:r>
      <w:r>
        <w:rPr>
          <w:rStyle w:val="NormalTok"/>
        </w:rPr>
        <w:t xml:space="preserve">τ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</w:t>
      </w:r>
      <w:r>
        <w:br/>
      </w:r>
      <w:r>
        <w:rPr>
          <w:rStyle w:val="NormalTok"/>
        </w:rPr>
        <w:t xml:space="preserve">τ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</w:t>
      </w:r>
      <w:r>
        <w:br/>
      </w:r>
      <w:r>
        <w:rPr>
          <w:rStyle w:val="NormalTok"/>
        </w:rPr>
        <w:t xml:space="preserve">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M10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rPr>
          <w:rStyle w:val="NormalTok"/>
        </w:rPr>
        <w:t xml:space="preserve">M20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br/>
      </w:r>
      <w:r>
        <w:rPr>
          <w:rStyle w:val="CommentTok"/>
        </w:rPr>
        <w:t xml:space="preserve"># Расчёт коэффициентов модели</w:t>
      </w:r>
      <w:r>
        <w:br/>
      </w:r>
      <w:r>
        <w:rPr>
          <w:rStyle w:val="NormalTok"/>
        </w:rPr>
        <w:t xml:space="preserve">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(τ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q)</w:t>
      </w:r>
      <w:r>
        <w:br/>
      </w: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(τ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(τ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τ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q)</w:t>
      </w:r>
      <w:r>
        <w:br/>
      </w:r>
      <w:r>
        <w:rPr>
          <w:rStyle w:val="NormalTok"/>
        </w:rPr>
        <w:t xml:space="preserve">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(p_cr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p1)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(τ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p1)</w:t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(p_cr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p2)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(τ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p2)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competition_case_1!</w:t>
      </w:r>
      <w:r>
        <w:rPr>
          <w:rStyle w:val="NormalTok"/>
        </w:rPr>
        <w:t xml:space="preserve">(du, u, p, θ)</w:t>
      </w:r>
      <w:r>
        <w:br/>
      </w:r>
      <w:r>
        <w:rPr>
          <w:rStyle w:val="NormalTok"/>
        </w:rPr>
        <w:t xml:space="preserve">    M1,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c1)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c1)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(c2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c1)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(a2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c1)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c1)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competition_case_2!</w:t>
      </w:r>
      <w:r>
        <w:rPr>
          <w:rStyle w:val="NormalTok"/>
        </w:rPr>
        <w:t xml:space="preserve">(du, u, p, θ)</w:t>
      </w:r>
      <w:r>
        <w:br/>
      </w:r>
      <w:r>
        <w:rPr>
          <w:rStyle w:val="NormalTok"/>
        </w:rPr>
        <w:t xml:space="preserve">    M1,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((b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c1)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c1)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(c2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c1)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(a2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c1)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c1)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[M10, M20]</w:t>
      </w:r>
      <w:r>
        <w:br/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problem_case_1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(competition_case_1!, u0, θspan)</w:t>
      </w:r>
      <w:r>
        <w:br/>
      </w:r>
      <w:r>
        <w:rPr>
          <w:rStyle w:val="NormalTok"/>
        </w:rPr>
        <w:t xml:space="preserve">solution_case_1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(problem_case_1,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problem_case_2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(competition_case_2!, u0, θspan)</w:t>
      </w:r>
      <w:r>
        <w:br/>
      </w:r>
      <w:r>
        <w:rPr>
          <w:rStyle w:val="NormalTok"/>
        </w:rPr>
        <w:t xml:space="preserve">solution_case_2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(problem_case_2,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(solution_case_1.t, [solution_case_1[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solution_case_1[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"FastBurger"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"BurgerPoint"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"θ = t / c₁"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"M, млн. усл. ед."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"Случай 1: обычная рыночная конкуренция"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"image/case_1_fastfood.png"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(solution_case_2.t, [solution_case_2[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solution_case_2[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"FastBurger"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"BurgerPoint"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"θ = t / c₁"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"M, млн. усл. ед."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"Случай 2: социально-психологический фактор"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"image/case_2_fastfood.png"</w:t>
      </w:r>
      <w:r>
        <w:rPr>
          <w:rStyle w:val="NormalTok"/>
        </w:rPr>
        <w:t xml:space="preserve">)</w:t>
      </w:r>
    </w:p>
    <w:bookmarkEnd w:id="24"/>
    <w:bookmarkStart w:id="29" w:name="случай-1.-обычная-рыночная-конкуренция"/>
    <w:p>
      <w:pPr>
        <w:pStyle w:val="Heading2"/>
      </w:pPr>
      <w:r>
        <w:t xml:space="preserve">3.4 Случай 1. Обычная рыночная конкуренция</w:t>
      </w:r>
    </w:p>
    <w:p>
      <w:pPr>
        <w:pStyle w:val="FirstParagraph"/>
      </w:pPr>
      <w:r>
        <w:t xml:space="preserve">В первом случае предполагается, что фирмы конкурируют только экономическими методами. Это означает, что каждая сеть влияет на рынок через длительность производственного цикла, себестоимость и объём оборотных средств. Дополнительного преимущества за счёт рекламы, узнаваемости бренда или лояльности потребителей не учитывается.</w:t>
      </w:r>
    </w:p>
    <w:p>
      <w:pPr>
        <w:pStyle w:val="BodyText"/>
      </w:pPr>
      <w:r>
        <w:t xml:space="preserve">В результате был получен следующий график (</w:t>
      </w:r>
      <w:hyperlink w:anchor="fig-case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case-1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case_1_fastfood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Динамика оборотных средств сетей фастфуда в первом случае</w:t>
            </w:r>
          </w:p>
          <w:bookmarkEnd w:id="28"/>
        </w:tc>
      </w:tr>
    </w:tbl>
    <w:p>
      <w:pPr>
        <w:pStyle w:val="BodyText"/>
      </w:pPr>
      <w:r>
        <w:t xml:space="preserve">По графику видно, что обе сети фастфуда остаются на рынке. Оборотные средства FastBurger быстро растут и выходят на устойчивый уровень. BurgerPoint также увеличивает оборотные средства и достигает более высокого стационарного уровня. Это объясняется тем, что вторая сеть имеет меньшую себестоимость товара, хотя её производственный цикл длиннее.</w:t>
      </w:r>
    </w:p>
    <w:p>
      <w:pPr>
        <w:pStyle w:val="BodyText"/>
      </w:pPr>
      <w:r>
        <w:t xml:space="preserve">Таким образом, в первом случае рынок фактически делится между двумя конкурентами. Ни одна из фирм не вытесняет другую полностью.</w:t>
      </w:r>
    </w:p>
    <w:bookmarkEnd w:id="29"/>
    <w:bookmarkStart w:id="30" w:name="X1bd3346f705d3c7f7115ee07c497bcde00ac14a"/>
    <w:p>
      <w:pPr>
        <w:pStyle w:val="Heading2"/>
      </w:pPr>
      <w:r>
        <w:t xml:space="preserve">3.5 Нахождение стационарного состояния для первого случая</w:t>
      </w:r>
    </w:p>
    <w:p>
      <w:pPr>
        <w:pStyle w:val="FirstParagraph"/>
      </w:pPr>
      <w:r>
        <w:t xml:space="preserve">Для первого случая стационарное состояние находится из условий:</w:t>
      </w:r>
    </w:p>
    <w:p>
      <w:pPr>
        <w:pStyle w:val="SourceCode"/>
      </w:pPr>
      <w:r>
        <w:rPr>
          <w:rStyle w:val="CommentTok"/>
        </w:rPr>
        <w:t xml:space="preserve"># Стационарное состояние первого случая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c1  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c1;</w:t>
      </w:r>
      <w:r>
        <w:br/>
      </w:r>
      <w:r>
        <w:rPr>
          <w:rStyle w:val="NormalTok"/>
        </w:rPr>
        <w:t xml:space="preserve">     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c1   a2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c1]</w:t>
      </w:r>
      <w:r>
        <w:br/>
      </w:r>
      <w:r>
        <w:rPr>
          <w:rStyle w:val="NormalTok"/>
        </w:rPr>
        <w:t xml:space="preserve">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c2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c1]</w:t>
      </w:r>
      <w:r>
        <w:br/>
      </w:r>
      <w:r>
        <w:rPr>
          <w:rStyle w:val="NormalTok"/>
        </w:rPr>
        <w:t xml:space="preserve">M_star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\</w:t>
      </w:r>
      <w:r>
        <w:rPr>
          <w:rStyle w:val="NormalTok"/>
        </w:rPr>
        <w:t xml:space="preserve"> rhs</w:t>
      </w:r>
    </w:p>
    <w:p>
      <w:pPr>
        <w:pStyle w:val="FirstParagraph"/>
      </w:pPr>
      <w:r>
        <w:t xml:space="preserve">После подстановки выбранных параметров получаем: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M1* ≈ 575.92</w:t>
      </w:r>
      <w:r>
        <w:t xml:space="preserve"> </w:t>
      </w:r>
      <w:r>
        <w:t xml:space="preserve">млн. усл. ед.;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M2* ≈ 783.27</w:t>
      </w:r>
      <w:r>
        <w:t xml:space="preserve"> </w:t>
      </w:r>
      <w:r>
        <w:t xml:space="preserve">млн. усл. ед.</w:t>
      </w:r>
    </w:p>
    <w:p>
      <w:pPr>
        <w:pStyle w:val="FirstParagraph"/>
      </w:pPr>
      <w:r>
        <w:t xml:space="preserve">Следовательно, устойчивое состояние рынка в первом случае соответствует тому, что FastBurger занимает меньшую часть рынка, а BurgerPoint — большую. Это связано с преимуществом второй фирмы по себестоимости продукта.</w:t>
      </w:r>
    </w:p>
    <w:bookmarkEnd w:id="30"/>
    <w:bookmarkStart w:id="35" w:name="X6dfab34085a54844aa8b710689bb49f03c0d2c6"/>
    <w:p>
      <w:pPr>
        <w:pStyle w:val="Heading2"/>
      </w:pPr>
      <w:r>
        <w:t xml:space="preserve">3.6 Случай 2. Конкуренция с социально-психологическим фактором</w:t>
      </w:r>
    </w:p>
    <w:p>
      <w:pPr>
        <w:pStyle w:val="FirstParagraph"/>
      </w:pPr>
      <w:r>
        <w:t xml:space="preserve">Во втором случае в модель добавляется дополнительное влияние на первую фирму. Его можно интерпретировать как усиление общественного предпочтения в пользу второй сети. Например, BurgerPoint может активнее развивать бренд, использовать рекламу, программу лояльности или формировать более устойчивую привязанность потребителей.</w:t>
      </w:r>
    </w:p>
    <w:p>
      <w:pPr>
        <w:pStyle w:val="BodyText"/>
      </w:pPr>
      <w:r>
        <w:t xml:space="preserve">В модели это отражается дополнительным коэффициентом</w:t>
      </w:r>
      <w:r>
        <w:t xml:space="preserve"> </w:t>
      </w:r>
      <w:r>
        <w:rPr>
          <w:rStyle w:val="VerbatimChar"/>
        </w:rPr>
        <w:t xml:space="preserve">0.002</w:t>
      </w:r>
      <w:r>
        <w:t xml:space="preserve"> </w:t>
      </w:r>
      <w:r>
        <w:t xml:space="preserve">в первом уравнении. Он усиливает отрицательное влияние второй фирмы на оборотные средства первой фирмы.</w:t>
      </w:r>
    </w:p>
    <w:p>
      <w:pPr>
        <w:pStyle w:val="BodyText"/>
      </w:pPr>
      <w:r>
        <w:t xml:space="preserve">В результате был получен следующий график (</w:t>
      </w:r>
      <w:hyperlink w:anchor="fig-case-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ase-2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case_2_fastfood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Динамика оборотных средств сетей фастфуда во втором случае</w:t>
            </w:r>
          </w:p>
          <w:bookmarkEnd w:id="34"/>
        </w:tc>
      </w:tr>
    </w:tbl>
    <w:p>
      <w:pPr>
        <w:pStyle w:val="BodyText"/>
      </w:pPr>
      <w:r>
        <w:t xml:space="preserve">По графику видно, что FastBurger сначала демонстрирует рост, однако затем его оборотные средства начинают снижаться. В итоге первая фирма фактически теряет возможность устойчиво работать на рынке. BurgerPoint, наоборот, продолжает рост и выходит на высокий устойчивый уровень.</w:t>
      </w:r>
    </w:p>
    <w:p>
      <w:pPr>
        <w:pStyle w:val="BodyText"/>
      </w:pPr>
      <w:r>
        <w:t xml:space="preserve">Это показывает, что даже при наличии начального роста фирма может проиграть конкурентную борьбу, если в модели появляется дополнительный фактор общественного предпочтения в пользу конкурента.</w:t>
      </w:r>
    </w:p>
    <w:bookmarkEnd w:id="35"/>
    <w:bookmarkStart w:id="36" w:name="сравнение-двух-случаев"/>
    <w:p>
      <w:pPr>
        <w:pStyle w:val="Heading2"/>
      </w:pPr>
      <w:r>
        <w:t xml:space="preserve">3.7 Сравнение двух случаев</w:t>
      </w:r>
    </w:p>
    <w:p>
      <w:pPr>
        <w:pStyle w:val="FirstParagraph"/>
      </w:pPr>
      <w:r>
        <w:t xml:space="preserve">В первом случае конкуренция приводит к разделению рынка между двумя сетями фастфуда. Обе фирмы сохраняют положительные оборотные средства и достигают устойчивого состояния. Во втором случае дополнительный социально-психологический фактор меняет динамику: одна фирма получает преимущество, а другая постепенно вытесняется с рынка.</w:t>
      </w:r>
    </w:p>
    <w:p>
      <w:pPr>
        <w:pStyle w:val="BodyText"/>
      </w:pPr>
      <w:r>
        <w:t xml:space="preserve">Таким образом, модель показывает, что экономические параметры важны, однако в конкурентной борьбе значимую роль могут играть и неэкономические факторы: узнаваемость бренда, реклама, доверие потребителей и сформированное общественное предпочтение.</w:t>
      </w:r>
    </w:p>
    <w:bookmarkEnd w:id="36"/>
    <w:bookmarkEnd w:id="37"/>
    <w:bookmarkStart w:id="38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результате выполнения лабораторной работы была рассмотрена модель конкуренции двух фирм на примере двух сетей фастфуда. Были заданы собственные параметры модели и построены графики динамики оборотных средств для двух случаев.</w:t>
      </w:r>
    </w:p>
    <w:p>
      <w:pPr>
        <w:pStyle w:val="BodyText"/>
      </w:pPr>
      <w:r>
        <w:t xml:space="preserve">В первом случае обе фирмы смогли остаться на рынке и достичь стационарного состояния. Для этого случая было найдено стационарное состояние системы:</w:t>
      </w:r>
      <w:r>
        <w:t xml:space="preserve"> </w:t>
      </w:r>
      <w:r>
        <w:rPr>
          <w:rStyle w:val="VerbatimChar"/>
        </w:rPr>
        <w:t xml:space="preserve">M1* ≈ 575.92</w:t>
      </w:r>
      <w:r>
        <w:t xml:space="preserve">,</w:t>
      </w:r>
      <w:r>
        <w:t xml:space="preserve"> </w:t>
      </w:r>
      <w:r>
        <w:rPr>
          <w:rStyle w:val="VerbatimChar"/>
        </w:rPr>
        <w:t xml:space="preserve">M2* ≈ 783.27</w:t>
      </w:r>
      <w:r>
        <w:t xml:space="preserve">. Во втором случае добавление социально-психологического фактора привело к вытеснению первой фирмы с рынка.</w:t>
      </w:r>
    </w:p>
    <w:p>
      <w:pPr>
        <w:pStyle w:val="BodyText"/>
      </w:pPr>
      <w:r>
        <w:t xml:space="preserve">Можно сделать вывод, что модель позволяет качественно исследовать конкурентное взаимодействие фирм и показывает, как изменение факторов влияния может приводить к разным сценариям развития рынка.</w:t>
      </w:r>
    </w:p>
    <w:bookmarkEnd w:id="38"/>
    <w:bookmarkStart w:id="40" w:name="список-литературы"/>
    <w:p>
      <w:pPr>
        <w:pStyle w:val="Heading1"/>
      </w:pPr>
      <w:r>
        <w:t xml:space="preserve">5. Список литературы</w:t>
      </w:r>
    </w:p>
    <w:p>
      <w:pPr>
        <w:pStyle w:val="FirstParagraph"/>
      </w:pPr>
      <w:hyperlink r:id="rId39">
        <w:r>
          <w:rPr>
            <w:rStyle w:val="Hyperlink"/>
          </w:rPr>
          <w:t xml:space="preserve">Лабораторная работа №8</w:t>
        </w:r>
      </w:hyperlink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31" Target="media/rId31.png" /><Relationship Type="http://schemas.openxmlformats.org/officeDocument/2006/relationships/hyperlink" Id="rId39" Target="https://esystem.rudn.ru/pluginfile.php/3094766/mod_resource/content/2/%D0%9B%D0%B0%D0%B1%D0%BE%D1%80%D0%B0%D1%82%D0%BE%D1%80%D0%BD%D0%B0%D1%8F%20%D1%80%D0%B0%D0%B1%D0%BE%D1%82%D0%B0%20%E2%84%96%207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esystem.rudn.ru/pluginfile.php/3094766/mod_resource/content/2/%D0%9B%D0%B0%D0%B1%D0%BE%D1%80%D0%B0%D1%82%D0%BE%D1%80%D0%BD%D0%B0%D1%8F%20%D1%80%D0%B0%D0%B1%D0%BE%D1%82%D0%B0%20%E2%84%96%207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Чистов Даниил Максимович</dc:creator>
  <dc:language>ru-RU</dc:language>
  <cp:keywords/>
  <dcterms:created xsi:type="dcterms:W3CDTF">2026-05-30T16:22:04Z</dcterms:created>
  <dcterms:modified xsi:type="dcterms:W3CDTF">2026-05-30T16:22:04Z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Модель конкуренции двух фирм</vt:lpwstr>
  </property>
  <property fmtid="{D5CDD505-2E9C-101B-9397-08002B2CF9AE}" pid="16" name="toc-title">
    <vt:lpwstr>Содержание</vt:lpwstr>
  </property>
</Properties>
</file>