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Электрический пробой</w:t>
      </w:r>
    </w:p>
    <w:p>
      <w:pPr>
        <w:pStyle w:val="Subtitle"/>
      </w:pPr>
      <w:r>
        <w:t xml:space="preserve">Групповой проект</w:t>
      </w:r>
    </w:p>
    <w:p>
      <w:pPr>
        <w:pStyle w:val="Author"/>
      </w:pPr>
      <w:r>
        <w:t xml:space="preserve">Софич А.Г,Солдатов С.А,Чистов Д.М,Соловьев Б.М,Селиванов В.А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523660b850ea994dd9f40c636e5a28d60eac2a7"/>
    <w:p>
      <w:pPr>
        <w:pStyle w:val="Heading1"/>
      </w:pPr>
      <w:r>
        <w:t xml:space="preserve">1. Третий этап: Комплексы программ. Описание программной реализации проекта</w:t>
      </w:r>
    </w:p>
    <w:bookmarkStart w:id="20" w:name="структура-программного-комплекса"/>
    <w:p>
      <w:pPr>
        <w:pStyle w:val="Heading2"/>
      </w:pPr>
      <w:r>
        <w:t xml:space="preserve">1.1 Структура программного комплекса</w:t>
      </w:r>
    </w:p>
    <w:p>
      <w:pPr>
        <w:pStyle w:val="FirstParagraph"/>
      </w:pPr>
      <w:r>
        <w:t xml:space="preserve">Для решения задач предложено разработать модульный комплекс, состоящий из трех независимых программных блоков, объединенных общим ядром: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Модуль расчета электростатики</w:t>
      </w:r>
      <w:r>
        <w:t xml:space="preserve"> </w:t>
      </w:r>
      <w:r>
        <w:t xml:space="preserve">(решатель Лапласа)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Модуль визуализации и анализа</w:t>
      </w:r>
      <w:r>
        <w:t xml:space="preserve"> </w:t>
      </w:r>
      <w:r>
        <w:t xml:space="preserve">(фрактальная размерность)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Модуль генерации сценариев</w:t>
      </w:r>
      <w:r>
        <w:t xml:space="preserve"> </w:t>
      </w:r>
      <w:r>
        <w:t xml:space="preserve">(граничные условия и критерии роста)</w:t>
      </w:r>
    </w:p>
    <w:p>
      <w:pPr>
        <w:pStyle w:val="FirstParagraph"/>
      </w:pPr>
      <w:r>
        <w:rPr>
          <w:b/>
          <w:bCs/>
        </w:rPr>
        <w:t xml:space="preserve">Общая архитектура:</w:t>
      </w:r>
      <w:r>
        <w:t xml:space="preserve"> </w:t>
      </w:r>
      <w:r>
        <w:t xml:space="preserve">* Итерационный цикл «Поле → Рост → Пересчет поля».</w:t>
      </w:r>
      <w:r>
        <w:t xml:space="preserve"> </w:t>
      </w:r>
      <w:r>
        <w:t xml:space="preserve">* Хранение данных в виде целочисленных массивов (для меток: диэлектрик, электрод, стример).</w:t>
      </w:r>
      <w:r>
        <w:t xml:space="preserve"> </w:t>
      </w:r>
      <w:r>
        <w:t xml:space="preserve">* Использование двойной точности (double) для расчета потенциала.</w:t>
      </w:r>
    </w:p>
    <w:bookmarkEnd w:id="20"/>
    <w:bookmarkStart w:id="21" w:name="модуль-решения-уравнения-лапласа"/>
    <w:p>
      <w:pPr>
        <w:pStyle w:val="Heading2"/>
      </w:pPr>
      <w:r>
        <w:t xml:space="preserve">1.2 2. Модуль решения уравнения Лапласа</w:t>
      </w:r>
    </w:p>
    <w:p>
      <w:pPr>
        <w:pStyle w:val="FirstParagraph"/>
      </w:pPr>
      <w:r>
        <w:rPr>
          <w:b/>
          <w:bCs/>
        </w:rPr>
        <w:t xml:space="preserve">Дискретизация области:</w:t>
      </w:r>
      <w:r>
        <w:t xml:space="preserve"> </w:t>
      </w:r>
      <w:r>
        <w:t xml:space="preserve">- Квадратная сетка размером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(типично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…</m:t>
        </m:r>
        <m:r>
          <m:t>500</m:t>
        </m:r>
      </m:oMath>
      <w:r>
        <w:t xml:space="preserve">)</w:t>
      </w:r>
      <w:r>
        <w:t xml:space="preserve"> </w:t>
      </w:r>
      <w:r>
        <w:t xml:space="preserve">- Шаг сетки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безразмерных единицах</w:t>
      </w:r>
      <w:r>
        <w:t xml:space="preserve"> </w:t>
      </w:r>
      <w:r>
        <w:t xml:space="preserve">- Потенциал хранится в массиве</w:t>
      </w:r>
      <w:r>
        <w:t xml:space="preserve"> </w:t>
      </w:r>
      <m:oMath>
        <m:r>
          <m:t>φ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(тип double)</w:t>
      </w:r>
    </w:p>
    <w:p>
      <w:pPr>
        <w:pStyle w:val="BodyText"/>
      </w:pPr>
      <w:r>
        <w:rPr>
          <w:b/>
          <w:bCs/>
        </w:rPr>
        <w:t xml:space="preserve">Конечно-разностная аппроксимация: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Итерационная формула (метод Якоби):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φ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4</m:t>
              </m:r>
            </m:den>
          </m:f>
        </m:oMath>
      </m:oMathPara>
    </w:p>
    <w:bookmarkEnd w:id="21"/>
    <w:bookmarkStart w:id="22" w:name="методы-ускорения-сходимости"/>
    <w:p>
      <w:pPr>
        <w:pStyle w:val="Heading2"/>
      </w:pPr>
      <w:r>
        <w:t xml:space="preserve">1.3 3. Методы ускорения сходимости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Метод Якоби сходится медленно (</w:t>
      </w:r>
      <m:oMath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итераций)</w:t>
      </w:r>
    </w:p>
    <w:p>
      <w:pPr>
        <w:pStyle w:val="BodyText"/>
      </w:pPr>
      <w:r>
        <w:rPr>
          <w:b/>
          <w:bCs/>
        </w:rPr>
        <w:t xml:space="preserve">Решение 1 — метод Гаусса–Зейделя:</w:t>
      </w:r>
      <w:r>
        <w:t xml:space="preserve"> </w:t>
      </w:r>
      <w:r>
        <w:t xml:space="preserve">- Использование обновленных значений</w:t>
      </w:r>
      <w:r>
        <w:t xml:space="preserve"> </w:t>
      </w:r>
      <w:r>
        <w:t xml:space="preserve">“на лету”</w:t>
      </w:r>
      <w:r>
        <w:t xml:space="preserve"> </w:t>
      </w:r>
      <w:r>
        <w:t xml:space="preserve">- В 2 раза быстрее, чем Якоби</w:t>
      </w:r>
    </w:p>
    <w:p>
      <w:pPr>
        <w:pStyle w:val="BodyText"/>
      </w:pPr>
      <w:r>
        <w:rPr>
          <w:b/>
          <w:bCs/>
        </w:rPr>
        <w:t xml:space="preserve">Решение 2 — метод SOR (Successive Over-Relaxation):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φ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</m:e>
          </m:d>
          <m:sSubSup>
            <m:e>
              <m:r>
                <m:t>φ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o</m:t>
              </m:r>
              <m:r>
                <m:t>l</m:t>
              </m:r>
              <m:r>
                <m:t>d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Оптимальный параметр релаксации: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den>
          </m:f>
          <m:r>
            <m:rPr>
              <m:sty m:val="p"/>
            </m:rPr>
            <m:t>≈</m:t>
          </m:r>
          <m:r>
            <m:t>1.9</m:t>
          </m:r>
          <m:r>
            <m:t> </m:t>
          </m:r>
          <m:r>
            <m:rPr>
              <m:nor/>
              <m:sty m:val="p"/>
            </m:rPr>
            <m:t>для </m:t>
          </m:r>
          <m:r>
            <m:t>N</m:t>
          </m:r>
          <m:r>
            <m:rPr>
              <m:sty m:val="p"/>
            </m:rPr>
            <m:t>=</m:t>
          </m:r>
          <m:r>
            <m:t>200</m:t>
          </m:r>
        </m:oMath>
      </m:oMathPara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Ускорение сходимости в 10–20 раз</w:t>
      </w:r>
    </w:p>
    <w:bookmarkEnd w:id="22"/>
    <w:bookmarkStart w:id="23" w:name="модуль-вероятностного-роста-стримера"/>
    <w:p>
      <w:pPr>
        <w:pStyle w:val="Heading2"/>
      </w:pPr>
      <w:r>
        <w:t xml:space="preserve">1.4 4. Модуль вероятностного роста стримера</w:t>
      </w:r>
    </w:p>
    <w:p>
      <w:pPr>
        <w:pStyle w:val="FirstParagraph"/>
      </w:pPr>
      <w:r>
        <w:rPr>
          <w:b/>
          <w:bCs/>
        </w:rPr>
        <w:t xml:space="preserve">Ключевая идея:</w:t>
      </w:r>
      <w:r>
        <w:t xml:space="preserve"> </w:t>
      </w:r>
      <w:r>
        <w:t xml:space="preserve">Пробой — стохастический процесс из-за неоднородностей среды</w:t>
      </w:r>
    </w:p>
    <w:p>
      <w:pPr>
        <w:pStyle w:val="BodyText"/>
      </w:pPr>
      <w:r>
        <w:rPr>
          <w:b/>
          <w:bCs/>
        </w:rPr>
        <w:t xml:space="preserve">Флуктуационный критерий (Нимейер–Пьетронеро–Висман):</w:t>
      </w:r>
      <w:r>
        <w:t xml:space="preserve"> </w:t>
      </w:r>
      <w:r>
        <w:t xml:space="preserve">Вероятность пробоя ячейки пропорциональна локальной напряженности поля в степени (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∝</m:t>
          </m:r>
          <m:sSubSup>
            <m:e>
              <m:r>
                <m:t>E</m:t>
              </m:r>
            </m:e>
            <m:sub>
              <m:r>
                <m:t>k</m:t>
              </m:r>
            </m:sub>
            <m:sup>
              <m:r>
                <m:t>η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Физический смысл параметра</w:t>
      </w:r>
      <w:r>
        <w:rPr>
          <w:b/>
          <w:bCs/>
        </w:rPr>
        <w:t xml:space="preserve"> </w:t>
      </w:r>
      <m:oMath>
        <m:r>
          <m:t>η</m:t>
        </m:r>
      </m:oMath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Тип роста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Случайный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Фрактал, изотропный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DLA-подобный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Диффузионно-ограниченный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Энергетический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Пропорционален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(тепловыделение)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Детерминированный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Прямой канал (минимальный путь)</w:t>
            </w:r>
          </w:p>
        </w:tc>
      </w:tr>
    </w:tbl>
    <w:bookmarkEnd w:id="23"/>
    <w:bookmarkStart w:id="24" w:name="алгоритм-монте-карло-для-выбора-ветви"/>
    <w:p>
      <w:pPr>
        <w:pStyle w:val="Heading2"/>
      </w:pPr>
      <w:r>
        <w:t xml:space="preserve">1.5 5. Алгоритм Монте-Карло для выбора ветви</w:t>
      </w:r>
    </w:p>
    <w:p>
      <w:pPr>
        <w:pStyle w:val="FirstParagraph"/>
      </w:pPr>
      <w:r>
        <w:rPr>
          <w:b/>
          <w:bCs/>
        </w:rPr>
        <w:t xml:space="preserve">Пошаговый алгоритм выбора следующего узла: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Поиск граничных узлов</w:t>
      </w:r>
      <w:r>
        <w:t xml:space="preserve"> </w:t>
      </w:r>
      <w:r>
        <w:t xml:space="preserve">— сканирование окрестности стримерной структуры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Вычисление локального поля</w:t>
      </w:r>
      <w:r>
        <w:t xml:space="preserve"> </w:t>
      </w:r>
      <w:r>
        <w:t xml:space="preserve">для каждого кандидата: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r>
                    <m:t>с</m:t>
                  </m:r>
                  <m:r>
                    <m:t>т</m:t>
                  </m:r>
                  <m:r>
                    <m:t>р</m:t>
                  </m:r>
                  <m:r>
                    <m:t>и</m:t>
                  </m:r>
                  <m:r>
                    <m:t>м</m:t>
                  </m:r>
                  <m:r>
                    <m:t>е</m:t>
                  </m:r>
                  <m:r>
                    <m:t>р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t>к</m:t>
                  </m:r>
                  <m:r>
                    <m:t>а</m:t>
                  </m:r>
                  <m:r>
                    <m:t>н</m:t>
                  </m:r>
                  <m:r>
                    <m:t>д</m:t>
                  </m:r>
                  <m:r>
                    <m:t>и</m:t>
                  </m:r>
                  <m:r>
                    <m:t>д</m:t>
                  </m:r>
                  <m:r>
                    <m:t>а</m:t>
                  </m:r>
                  <m:r>
                    <m:t>т</m:t>
                  </m:r>
                </m:sub>
              </m:sSub>
            </m:num>
            <m:den>
              <m:r>
                <m:t>h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Расчет весов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t>k</m:t>
            </m:r>
          </m:sub>
          <m:sup>
            <m:r>
              <m:t>η</m:t>
            </m:r>
          </m:sup>
        </m:sSubSup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Вычисление суммы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Генерация случайного числа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⋅</m:t>
        </m:r>
        <m:r>
          <m:rPr>
            <m:nor/>
            <m:sty m:val="p"/>
          </m:rPr>
          <m:t>random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Кумулятивный перебор:</w:t>
      </w:r>
      <w:r>
        <w:t xml:space="preserve"> </w:t>
      </w:r>
      <w:r>
        <w:t xml:space="preserve">найти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такое, что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≥</m:t>
        </m:r>
        <m:r>
          <m:t>ξ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Присоединение</w:t>
      </w:r>
      <w:r>
        <w:t xml:space="preserve"> </w:t>
      </w:r>
      <w:r>
        <w:t xml:space="preserve">узла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к стримеру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на шаг, 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число граничных узлов</w:t>
      </w:r>
    </w:p>
    <w:bookmarkEnd w:id="24"/>
    <w:bookmarkStart w:id="25" w:name="модуль-граничных-условий"/>
    <w:p>
      <w:pPr>
        <w:pStyle w:val="Heading2"/>
      </w:pPr>
      <w:r>
        <w:t xml:space="preserve">1.6 6. Модуль граничных условий</w:t>
      </w:r>
    </w:p>
    <w:p>
      <w:pPr>
        <w:pStyle w:val="FirstParagraph"/>
      </w:pPr>
      <w:r>
        <w:rPr>
          <w:b/>
          <w:bCs/>
        </w:rPr>
        <w:t xml:space="preserve">Типы граничных условий в программе: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Математическая 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Физический 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Дирихле (фиксированный)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Электрод, стенка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Неймана (адиабатический)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t>φ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Симметрия, изолятор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Периодические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φ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Бесконечная решетка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Реализация для геометрии</w:t>
      </w:r>
      <w:r>
        <w:rPr>
          <w:b/>
          <w:bCs/>
        </w:rPr>
        <w:t xml:space="preserve"> </w:t>
      </w:r>
      <w:r>
        <w:rPr>
          <w:b/>
          <w:bCs/>
        </w:rPr>
        <w:t xml:space="preserve">“точка–окружность”</w:t>
      </w:r>
      <w:r>
        <w:rPr>
          <w:b/>
          <w:bCs/>
        </w:rPr>
        <w:t xml:space="preserve">:</w:t>
      </w:r>
      <w:r>
        <w:t xml:space="preserve"> </w:t>
      </w:r>
      <w:r>
        <w:t xml:space="preserve">- Окружность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аппроксимируется ступенчатой линией</w:t>
      </w:r>
      <w:r>
        <w:t xml:space="preserve"> </w:t>
      </w:r>
      <w:r>
        <w:t xml:space="preserve">- Узлы внутри окружности — диэлектрик (начальное состояние)</w:t>
      </w:r>
      <w:r>
        <w:t xml:space="preserve"> </w:t>
      </w:r>
      <w:r>
        <w:t xml:space="preserve">- Узлы на окружности — потенциал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Узлы вне окружности — не рассматриваются (или Нейман)</w:t>
      </w:r>
    </w:p>
    <w:bookmarkEnd w:id="25"/>
    <w:bookmarkStart w:id="26" w:name="модуль-фрактального-анализа"/>
    <w:p>
      <w:pPr>
        <w:pStyle w:val="Heading2"/>
      </w:pPr>
      <w:r>
        <w:t xml:space="preserve">1.7 7. Модуль фрактального анализа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Определить фрактальную размерность (D_f) стримерной структуры</w:t>
      </w:r>
    </w:p>
    <w:p>
      <w:pPr>
        <w:pStyle w:val="BodyText"/>
      </w:pPr>
      <w:r>
        <w:rPr>
          <w:b/>
          <w:bCs/>
        </w:rPr>
        <w:t xml:space="preserve">Метод 1 — зависимость массы от радиуса: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∼</m:t>
          </m:r>
          <m:sSup>
            <m:e>
              <m:r>
                <m:t>R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— число частиц в круге радиуса</w:t>
      </w:r>
      <w:r>
        <w:t xml:space="preserve"> </w:t>
      </w:r>
      <m:oMath>
        <m:r>
          <m:t>R</m:t>
        </m:r>
      </m:oMath>
    </w:p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Найти центр масс кластера</w:t>
      </w:r>
      <w:r>
        <w:t xml:space="preserve"> </w:t>
      </w:r>
      <w:r>
        <w:t xml:space="preserve">2. Для каждого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(логарифмическая шкала) подсчитать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3. Построить график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ln</m:t>
        </m:r>
        <m:r>
          <m:t>R</m:t>
        </m:r>
      </m:oMath>
      <w:r>
        <w:t xml:space="preserve"> </w:t>
      </w:r>
      <w:r>
        <w:t xml:space="preserve">4. Аппроксимировать прямой: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tg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</w:p>
    <w:p>
      <w:pPr>
        <w:pStyle w:val="BodyText"/>
      </w:pPr>
      <w:r>
        <w:rPr>
          <w:b/>
          <w:bCs/>
        </w:rPr>
        <w:t xml:space="preserve">Ожидаемое значение: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1.71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для DLA (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bookmarkEnd w:id="26"/>
    <w:bookmarkStart w:id="27" w:name="метод-подсчета-ящиков-box-counting"/>
    <w:p>
      <w:pPr>
        <w:pStyle w:val="Heading2"/>
      </w:pPr>
      <w:r>
        <w:t xml:space="preserve">1.8 8. Метод подсчета ящиков (box-counting)</w:t>
      </w:r>
    </w:p>
    <w:p>
      <w:pPr>
        <w:pStyle w:val="FirstParagraph"/>
      </w:pPr>
      <w:r>
        <w:rPr>
          <w:b/>
          <w:bCs/>
        </w:rPr>
        <w:t xml:space="preserve">Универсальный метод для любых фракталов:</w:t>
      </w:r>
    </w:p>
    <w:p>
      <w:pPr>
        <w:pStyle w:val="BodyText"/>
      </w:pPr>
      <w:r>
        <w:rPr>
          <w:b/>
          <w:bCs/>
        </w:rPr>
        <w:t xml:space="preserve">Процедура:</w:t>
      </w:r>
      <w:r>
        <w:t xml:space="preserve"> </w:t>
      </w:r>
      <w:r>
        <w:t xml:space="preserve">1. Наложить на кластер сетку с ячейками размера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2. Подсчитать число непустых ячеек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3. Уменьшить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(обычно в 2 раза) и повторить</w:t>
      </w:r>
      <w:r>
        <w:t xml:space="preserve"> </w:t>
      </w:r>
      <w:r>
        <w:t xml:space="preserve">4. Построить зависимость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ln</m:t>
        </m:r>
        <m:r>
          <m:t>L</m:t>
        </m:r>
        <m:r>
          <m:rPr>
            <m:sty m:val="p"/>
          </m:rPr>
          <m:t>+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</m:oMath>
    </w:p>
    <w:p>
      <w:pPr>
        <w:pStyle w:val="BodyText"/>
      </w:pPr>
      <w:r>
        <w:rPr>
          <w:b/>
          <w:bCs/>
        </w:rPr>
        <w:t xml:space="preserve">Преимущества:</w:t>
      </w:r>
      <w:r>
        <w:t xml:space="preserve"> </w:t>
      </w:r>
      <w:r>
        <w:t xml:space="preserve">- Не требует знания центра кластера</w:t>
      </w:r>
      <w:r>
        <w:t xml:space="preserve"> </w:t>
      </w:r>
      <w:r>
        <w:t xml:space="preserve">- Работает для несвязных структур</w:t>
      </w:r>
      <w:r>
        <w:t xml:space="preserve"> </w:t>
      </w:r>
      <w:r>
        <w:t xml:space="preserve">- Хорошо усредняет анизотропию</w:t>
      </w:r>
    </w:p>
    <w:bookmarkEnd w:id="27"/>
    <w:bookmarkStart w:id="28" w:name="вычисление-густоты-ветвей"/>
    <w:p>
      <w:pPr>
        <w:pStyle w:val="Heading2"/>
      </w:pPr>
      <w:r>
        <w:t xml:space="preserve">1.9 9. Вычисление густоты ветвей</w:t>
      </w:r>
    </w:p>
    <w:p>
      <w:pPr>
        <w:pStyle w:val="FirstParagraph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Исследовать, как меняется густота ветвей с радиусом стримерной структуры (геометрия</w:t>
      </w:r>
      <w:r>
        <w:t xml:space="preserve"> </w:t>
      </w:r>
      <w:r>
        <w:t xml:space="preserve">“точка–окружность”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Определение густоты: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в</m:t>
              </m:r>
              <m:r>
                <m:t>е</m:t>
              </m:r>
              <m:r>
                <m:t>т</m:t>
              </m:r>
              <m:r>
                <m:t>в</m:t>
              </m:r>
              <m:r>
                <m:t>е</m:t>
              </m:r>
              <m:r>
                <m:t>й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Число пересечений стримера с окружностью </m:t>
              </m:r>
              <m:r>
                <m:t>R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Для каждого радиуса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2. Просканировать все узлы стримера с координатами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3. Если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R</m:t>
        </m:r>
      </m:oMath>
      <w:r>
        <w:t xml:space="preserve"> </w:t>
      </w:r>
      <w:r>
        <w:t xml:space="preserve">(с точностью до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), инкрементировать счетчик</w:t>
      </w:r>
      <w:r>
        <w:t xml:space="preserve"> </w:t>
      </w:r>
      <w:r>
        <w:t xml:space="preserve">4. Нормировать на длину окружности</w:t>
      </w:r>
      <w:r>
        <w:t xml:space="preserve"> </w:t>
      </w:r>
      <m:oMath>
        <m:r>
          <m:t>2</m:t>
        </m:r>
        <m:r>
          <m:t>π</m:t>
        </m:r>
        <m:r>
          <m:t>R</m:t>
        </m:r>
      </m:oMath>
    </w:p>
    <w:p>
      <w:pPr>
        <w:pStyle w:val="BodyText"/>
      </w:pPr>
      <w:r>
        <w:rPr>
          <w:b/>
          <w:bCs/>
        </w:rPr>
        <w:t xml:space="preserve">Ожидаемый результат:</w:t>
      </w:r>
      <w:r>
        <w:t xml:space="preserve"> </w:t>
      </w:r>
      <w:r>
        <w:t xml:space="preserve">- При малых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густота высокая (ствол)</w:t>
      </w:r>
      <w:r>
        <w:t xml:space="preserve"> </w:t>
      </w:r>
      <w:r>
        <w:t xml:space="preserve">- При больших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густота падает или флуктуирует</w:t>
      </w:r>
      <w:r>
        <w:t xml:space="preserve"> </w:t>
      </w:r>
      <w:r>
        <w:t xml:space="preserve">- Зависимость от</w:t>
      </w:r>
      <w:r>
        <w:t xml:space="preserve"> </w:t>
      </w:r>
      <m:oMath>
        <m:r>
          <m:t>η</m:t>
        </m:r>
      </m:oMath>
      <w:r>
        <w:t xml:space="preserve">: чем больше</w:t>
      </w:r>
      <w:r>
        <w:t xml:space="preserve"> </w:t>
      </w:r>
      <m:oMath>
        <m:r>
          <m:t>η</m:t>
        </m:r>
      </m:oMath>
      <w:r>
        <w:t xml:space="preserve">, тем менее ветвистая структура</w:t>
      </w:r>
    </w:p>
    <w:bookmarkEnd w:id="28"/>
    <w:bookmarkStart w:id="29" w:name="заключение"/>
    <w:p>
      <w:pPr>
        <w:pStyle w:val="Heading2"/>
      </w:pPr>
      <w:r>
        <w:t xml:space="preserve">1.10 Заключение</w:t>
      </w:r>
    </w:p>
    <w:p>
      <w:pPr>
        <w:pStyle w:val="FirstParagraph"/>
      </w:pPr>
      <w:r>
        <w:rPr>
          <w:b/>
          <w:bCs/>
        </w:rPr>
        <w:t xml:space="preserve">В рамках третьего этапа разработан программный комплекс, включающий: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Модуль расчета электростатики</w:t>
      </w:r>
      <w:r>
        <w:t xml:space="preserve"> </w:t>
      </w:r>
      <w:r>
        <w:t xml:space="preserve">— метод SOR с параметром релаксации</w:t>
      </w:r>
      <w:r>
        <w:t xml:space="preserve"> </w:t>
      </w:r>
      <m:oMath>
        <m:r>
          <m:t>ω</m:t>
        </m:r>
        <m:r>
          <m:rPr>
            <m:sty m:val="p"/>
          </m:rPr>
          <m:t>≈</m:t>
        </m:r>
        <m:r>
          <m:t>1.9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Модуль вероятностного роста</w:t>
      </w:r>
      <w:r>
        <w:t xml:space="preserve"> </w:t>
      </w:r>
      <w:r>
        <w:t xml:space="preserve">— флуктуационный критерий</w:t>
      </w:r>
      <w:r>
        <w:t xml:space="preserve"> </w:t>
      </w:r>
      <m:oMath>
        <m:r>
          <m:t>P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t>η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Модули визуализации и анализа</w:t>
      </w:r>
      <w:r>
        <w:t xml:space="preserve"> </w:t>
      </w:r>
      <w:r>
        <w:t xml:space="preserve">— графический вывод + фрактальная размерность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Модули граничных условий</w:t>
      </w:r>
      <w:r>
        <w:t xml:space="preserve"> </w:t>
      </w:r>
      <w:r>
        <w:t xml:space="preserve">— поддержка геометрий</w:t>
      </w:r>
      <w:r>
        <w:t xml:space="preserve"> </w:t>
      </w:r>
      <w:r>
        <w:t xml:space="preserve">“острие–плоскость”</w:t>
      </w:r>
      <w:r>
        <w:t xml:space="preserve"> </w:t>
      </w:r>
      <w:r>
        <w:t xml:space="preserve">и</w:t>
      </w:r>
      <w:r>
        <w:t xml:space="preserve"> </w:t>
      </w:r>
      <w:r>
        <w:t xml:space="preserve">“точка–окружность”</w:t>
      </w:r>
    </w:p>
    <w:bookmarkEnd w:id="29"/>
    <w:bookmarkEnd w:id="30"/>
    <w:bookmarkStart w:id="31" w:name="список-литературы"/>
    <w:p>
      <w:pPr>
        <w:pStyle w:val="Heading1"/>
      </w:pPr>
      <w:r>
        <w:t xml:space="preserve">2. 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Моделирование физических процессов и явлений на ПК / Д. А. Медведев, А. Л. Куперштох, Э. Р. Прууэл [и др.]. – Новосибирск : Новосиб. гос. ун-т, 2010. – 101 с. – ISBN 978-5-94356-933-3.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Электрический пробой</dc:title>
  <dc:creator>Софич А.Г,Солдатов С.А,Чистов Д.М,Соловьев Б.М,Селиванов В.А</dc:creator>
  <dc:language>ru-RU</dc:language>
  <cp:keywords/>
  <dcterms:created xsi:type="dcterms:W3CDTF">2026-05-02T20:26:43Z</dcterms:created>
  <dcterms:modified xsi:type="dcterms:W3CDTF">2026-05-02T20:26:43Z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Групповой проект</vt:lpwstr>
  </property>
  <property fmtid="{D5CDD505-2E9C-101B-9397-08002B2CF9AE}" pid="16" name="toc-title">
    <vt:lpwstr>Содержание</vt:lpwstr>
  </property>
</Properties>
</file>