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Applicant: </w:t>
      </w:r>
      <w:r>
        <w:rPr/>
        <w:t>Dan Thomas</w:t>
      </w:r>
    </w:p>
    <w:p>
      <w:pPr>
        <w:pStyle w:val="Normal"/>
        <w:rPr/>
      </w:pPr>
      <w:r>
        <w:rPr/>
        <w:t>Proposed advisors: Melissa McCormick (SERC) and Edward Allen Herre (STRI)</w:t>
      </w:r>
    </w:p>
    <w:p>
      <w:pPr>
        <w:pStyle w:val="Heading1"/>
        <w:rPr/>
      </w:pPr>
      <w:r>
        <w:rPr/>
        <w:t>Delivering the goods: an environmental survey of secondary metabolites and the microbiome.</w:t>
      </w:r>
    </w:p>
    <w:p>
      <w:pPr>
        <w:pStyle w:val="Heading1"/>
        <w:rPr/>
      </w:pPr>
      <w:r>
        <w:rPr/>
        <w:t>Intro:</w:t>
      </w:r>
    </w:p>
    <w:p>
      <w:pPr>
        <w:pStyle w:val="TextBody"/>
        <w:rPr/>
      </w:pPr>
      <w:r>
        <w:rPr/>
        <w:t xml:space="preserve">The intensity and types of environmental challenges </w:t>
      </w:r>
      <w:r>
        <w:rPr/>
        <w:t>facing</w:t>
      </w:r>
      <w:r>
        <w:rPr/>
        <w:t xml:space="preserve"> plant</w:t>
      </w:r>
      <w:r>
        <w:rPr/>
        <w:t>s</w:t>
      </w:r>
      <w:r>
        <w:rPr/>
        <w:t xml:space="preserve"> var</w:t>
      </w:r>
      <w:r>
        <w:rPr/>
        <w:t xml:space="preserve">y </w:t>
      </w:r>
      <w:r>
        <w:rPr/>
        <w:t xml:space="preserve">at all spatial scales, </w:t>
      </w:r>
      <w:r>
        <w:rPr/>
        <w:t xml:space="preserve">from landscape-level scales down to variability among different regions of individual plant bodies. Temporal changes in environmental challenges to plants also range from hourly, to seasonal or even decadal fluctuations in climate, pathogen loads, nutrient availability, and exposure.  Plant genomes contain many solutions to these challenges, especially to environmental challenges which have acted as long-term selective pressures on plants. In these times of rapid change, however, the abundance and rythmn of all types of plant stressors has increased, and plant genomes alone may not evolve quickly enough to ensure the success of ecologically or socially important plants in the face of increased pathogen loads, decreased climatic stability, and decreased habitat availability. </w:t>
      </w:r>
    </w:p>
    <w:p>
      <w:pPr>
        <w:pStyle w:val="TextBody"/>
        <w:rPr/>
      </w:pPr>
      <w:r>
        <w:rPr/>
        <w:tab/>
        <w:t>Some have proposed that the plant microbiome, with its collective abundance of microbial genetic resources, may represent an important and adaptive addition to the host plant genome. Together, it is proposed, the microbiome and the plant sum to make up the plant “hologenome”, which is more extensive and more dynamic than the plant genome alone</w:t>
      </w:r>
      <w:r>
        <w:rPr>
          <w:b w:val="false"/>
          <w:i w:val="false"/>
          <w:caps w:val="false"/>
          <w:smallCaps w:val="false"/>
          <w:u w:val="none"/>
          <w:vertAlign w:val="superscript"/>
        </w:rPr>
        <w:t>1</w:t>
      </w:r>
      <w:r>
        <w:rPr/>
        <w:t>. It remains a mystery how historically important hologenomes were in shaping plant populations, even prior to the current era of rapid anthropogenic change.  However, evidence has mounted rapidly that microbiomes are important determinants in plant distributions and ecosystem health</w:t>
      </w:r>
      <w:r>
        <w:rPr>
          <w:b w:val="false"/>
          <w:i w:val="false"/>
          <w:caps w:val="false"/>
          <w:smallCaps w:val="false"/>
          <w:u w:val="none"/>
          <w:vertAlign w:val="superscript"/>
        </w:rPr>
        <w:t>2–6</w:t>
      </w:r>
      <w:r>
        <w:rPr/>
        <w:t>.  If microbiomes are to harnessed in any way to help plant health in times of rapid change, their spatial and temporal patterns must be better understood.</w:t>
      </w:r>
    </w:p>
    <w:p>
      <w:pPr>
        <w:pStyle w:val="TextBody"/>
        <w:rPr/>
      </w:pPr>
      <w:r>
        <w:rPr/>
        <w:tab/>
        <w:t>Here w</w:t>
      </w:r>
      <w:r>
        <w:rPr/>
        <w:t xml:space="preserve">e propose to undertake sampling for the functional microbiome of a host tree species, </w:t>
      </w:r>
      <w:r>
        <w:rPr>
          <w:i/>
          <w:iCs/>
        </w:rPr>
        <w:t>Eugenia nesiotica</w:t>
      </w:r>
      <w:r>
        <w:rPr/>
        <w:t xml:space="preserve">, across the extent of the BCI ForestGEO plot. Endophytes from both leaf and root tissue of </w:t>
      </w:r>
      <w:r>
        <w:rPr>
          <w:i/>
          <w:iCs/>
        </w:rPr>
        <w:t>Eugenia</w:t>
      </w:r>
      <w:r>
        <w:rPr>
          <w:i w:val="false"/>
          <w:iCs w:val="false"/>
        </w:rPr>
        <w:t xml:space="preserve"> will be surveyed for the presence of biosynthetic gene clusters, </w:t>
      </w:r>
      <w:r>
        <w:rPr>
          <w:i w:val="false"/>
          <w:iCs w:val="false"/>
        </w:rPr>
        <w:t xml:space="preserve">using two survey methods, </w:t>
      </w:r>
      <w:r>
        <w:rPr>
          <w:i w:val="false"/>
          <w:iCs w:val="false"/>
        </w:rPr>
        <w:t>targeted PCR tests and metabarcoding of two groups of important enzymes for backbone molecules for secondary metabolites, PKS and NRPS</w:t>
      </w:r>
      <w:r>
        <w:rPr>
          <w:b w:val="false"/>
          <w:i w:val="false"/>
          <w:iCs w:val="false"/>
          <w:caps w:val="false"/>
          <w:smallCaps w:val="false"/>
          <w:u w:val="none"/>
          <w:vertAlign w:val="superscript"/>
        </w:rPr>
        <w:t>7</w:t>
      </w:r>
      <w:r>
        <w:rPr/>
        <w:t xml:space="preserve">. </w:t>
      </w:r>
    </w:p>
    <w:p>
      <w:pPr>
        <w:pStyle w:val="Heading2"/>
        <w:rPr/>
      </w:pPr>
      <w:r>
        <w:rPr/>
        <w:t>Hypothesis and predictions:</w:t>
      </w:r>
    </w:p>
    <w:p>
      <w:pPr>
        <w:pStyle w:val="TextBody"/>
        <w:rPr/>
      </w:pPr>
      <w:r>
        <w:rPr>
          <w:b/>
          <w:bCs/>
        </w:rPr>
        <w:t>Hypothesis</w:t>
      </w:r>
      <w:r>
        <w:rPr/>
        <w:t xml:space="preserve">: </w:t>
      </w:r>
      <w:r>
        <w:rPr/>
        <w:t>We hypothesize</w:t>
      </w:r>
      <w:r>
        <w:rPr/>
        <w:t xml:space="preserve"> that plants recruit microbial symbionts that </w:t>
      </w:r>
      <w:r>
        <w:rPr/>
        <w:t xml:space="preserve">supplement or compliment plant genome function </w:t>
      </w:r>
      <w:r>
        <w:rPr/>
        <w:t>to</w:t>
      </w:r>
      <w:r>
        <w:rPr/>
        <w:t xml:space="preserve"> enhance tolerance to stressors.</w:t>
      </w:r>
    </w:p>
    <w:p>
      <w:pPr>
        <w:pStyle w:val="TextBody"/>
        <w:rPr>
          <w:b/>
          <w:b/>
          <w:bCs/>
        </w:rPr>
      </w:pPr>
      <w:r>
        <w:rPr>
          <w:b/>
          <w:bCs/>
        </w:rPr>
        <w:t>Prediction:</w:t>
      </w:r>
      <w:r>
        <w:rPr>
          <w:b w:val="false"/>
          <w:bCs w:val="false"/>
        </w:rPr>
        <w:t xml:space="preserve"> </w:t>
      </w:r>
      <w:r>
        <w:rPr>
          <w:b w:val="false"/>
          <w:bCs w:val="false"/>
        </w:rPr>
        <w:t>S</w:t>
      </w:r>
      <w:r>
        <w:rPr>
          <w:b w:val="false"/>
          <w:bCs w:val="false"/>
        </w:rPr>
        <w:t xml:space="preserve">tressors faced by the host plant </w:t>
      </w:r>
      <w:r>
        <w:rPr>
          <w:b w:val="false"/>
          <w:bCs w:val="false"/>
        </w:rPr>
        <w:t xml:space="preserve">will predict the relative abundance of “useful” secondary metabolites produced by the microbiome. For instance, </w:t>
      </w:r>
      <w:r>
        <w:rPr>
          <w:b w:val="false"/>
          <w:bCs w:val="false"/>
        </w:rPr>
        <w:t xml:space="preserve">we predict that tissues of </w:t>
      </w:r>
      <w:r>
        <w:rPr>
          <w:b w:val="false"/>
          <w:bCs w:val="false"/>
        </w:rPr>
        <w:t xml:space="preserve">a drought-stressed tree will </w:t>
      </w:r>
      <w:r>
        <w:rPr>
          <w:b w:val="false"/>
          <w:bCs w:val="false"/>
        </w:rPr>
        <w:t>contain</w:t>
      </w:r>
      <w:r>
        <w:rPr>
          <w:b w:val="false"/>
          <w:bCs w:val="false"/>
        </w:rPr>
        <w:t xml:space="preserve"> increased </w:t>
      </w:r>
      <w:r>
        <w:rPr>
          <w:b w:val="false"/>
          <w:bCs w:val="false"/>
        </w:rPr>
        <w:t xml:space="preserve">levels </w:t>
      </w:r>
      <w:r>
        <w:rPr>
          <w:b w:val="false"/>
          <w:bCs w:val="false"/>
        </w:rPr>
        <w:t>osmolyte</w:t>
      </w:r>
      <w:r>
        <w:rPr>
          <w:b w:val="false"/>
          <w:bCs w:val="false"/>
        </w:rPr>
        <w:t>s</w:t>
      </w:r>
      <w:r>
        <w:rPr>
          <w:b w:val="false"/>
          <w:bCs w:val="false"/>
        </w:rPr>
        <w:t xml:space="preserve"> and antioxidants </w:t>
      </w:r>
      <w:r>
        <w:rPr>
          <w:b w:val="false"/>
          <w:bCs w:val="false"/>
        </w:rPr>
        <w:t xml:space="preserve">of microbial origin. </w:t>
      </w:r>
    </w:p>
    <w:p>
      <w:pPr>
        <w:pStyle w:val="Heading1"/>
        <w:rPr/>
      </w:pPr>
      <w:r>
        <w:rPr/>
        <w:t>Methods:</w:t>
      </w:r>
    </w:p>
    <w:p>
      <w:pPr>
        <w:pStyle w:val="Heading3"/>
        <w:rPr/>
      </w:pPr>
      <w:r>
        <w:rPr>
          <w:i w:val="false"/>
          <w:iCs w:val="false"/>
        </w:rPr>
        <w:t>P</w:t>
      </w:r>
      <w:r>
        <w:rPr>
          <w:i w:val="false"/>
          <w:iCs w:val="false"/>
        </w:rPr>
        <w:t>KS and NRPS metabarcoding</w:t>
      </w:r>
    </w:p>
    <w:p>
      <w:pPr>
        <w:pStyle w:val="Normal"/>
        <w:rPr>
          <w:i w:val="false"/>
          <w:i w:val="false"/>
          <w:iCs w:val="false"/>
        </w:rPr>
      </w:pPr>
      <w:r>
        <w:rPr>
          <w:i w:val="false"/>
          <w:iCs w:val="false"/>
        </w:rPr>
      </w:r>
    </w:p>
    <w:p>
      <w:pPr>
        <w:pStyle w:val="TextBody"/>
        <w:rPr/>
      </w:pPr>
      <w:r>
        <w:rPr/>
        <w:t>A metabarcode study will broadly target polyketide synthases (PKS) and non-ribosomal peptide synthases (NRPS) with degenerate primers. These data will using  be engaged to to get a general picture of some broad classes of secondary metabolites that tree microbiomes are predicted to be producing differentially in response to environmental challenges. These enzymes encode backbone molecules for two of the broadest families of microbial secondary metabolites (polyketides and non-ribosomal peptides)</w:t>
      </w:r>
      <w:r>
        <w:rPr>
          <w:b w:val="false"/>
          <w:i w:val="false"/>
          <w:caps w:val="false"/>
          <w:smallCaps w:val="false"/>
          <w:u w:val="none"/>
          <w:vertAlign w:val="superscript"/>
        </w:rPr>
        <w:t>7,8</w:t>
      </w:r>
      <w:r>
        <w:rPr/>
        <w:t xml:space="preserve">, and exist in diverse homologs that can be used to infer medium-to-fine grain portrait of the secondary metabolome of the plant microbiome. </w:t>
      </w:r>
      <w:r>
        <w:rPr/>
        <w:t xml:space="preserve">Amplicon library preparation will follow Thomas </w:t>
      </w:r>
      <w:r>
        <w:rPr/>
        <w:t>et al.</w:t>
      </w:r>
      <w:r>
        <w:rPr>
          <w:b w:val="false"/>
          <w:i w:val="false"/>
          <w:caps w:val="false"/>
          <w:smallCaps w:val="false"/>
          <w:u w:val="none"/>
          <w:vertAlign w:val="superscript"/>
        </w:rPr>
        <w:t>9</w:t>
      </w:r>
      <w:r>
        <w:rPr/>
        <w:t xml:space="preserve">, </w:t>
      </w:r>
      <w:r>
        <w:rPr/>
        <w:t>for sequencing on Illumina MiSeq platform.  Primer pairs for this survey will be based on Charlop-Powers et al.</w:t>
      </w:r>
      <w:r>
        <w:rPr>
          <w:b w:val="false"/>
          <w:i w:val="false"/>
          <w:caps w:val="false"/>
          <w:smallCaps w:val="false"/>
          <w:u w:val="none"/>
          <w:vertAlign w:val="superscript"/>
        </w:rPr>
        <w:t>10</w:t>
      </w:r>
      <w:r>
        <w:rPr/>
        <w:t xml:space="preserve">. </w:t>
      </w:r>
      <w:r>
        <w:rPr/>
        <w:t xml:space="preserve">Preliminary surveys of these primers on public databases show very few matches to plant sequences </w:t>
      </w:r>
      <w:r>
        <w:rPr/>
        <w:t xml:space="preserve">(see </w:t>
      </w:r>
      <w:hyperlink r:id="rId2">
        <w:r>
          <w:rPr>
            <w:rStyle w:val="InternetLink"/>
          </w:rPr>
          <w:t xml:space="preserve">jupyter notebook </w:t>
        </w:r>
      </w:hyperlink>
      <w:hyperlink r:id="rId3">
        <w:r>
          <w:rPr>
            <w:rStyle w:val="InternetLink"/>
          </w:rPr>
          <w:t>here</w:t>
        </w:r>
      </w:hyperlink>
      <w:r>
        <w:rPr/>
        <w:t xml:space="preserve">). </w:t>
      </w:r>
      <w:r>
        <w:rPr/>
        <w:t>Though most observations of NRPS and type I PKSes originate from microbial sequences, the possibility exists that that plants are greatly undersampled for type I PKS gene clusters</w:t>
      </w:r>
      <w:r>
        <w:rPr>
          <w:b w:val="false"/>
          <w:i w:val="false"/>
          <w:caps w:val="false"/>
          <w:smallCaps w:val="false"/>
          <w:u w:val="none"/>
          <w:vertAlign w:val="superscript"/>
        </w:rPr>
        <w:t>11</w:t>
      </w:r>
      <w:r>
        <w:rPr/>
        <w:t xml:space="preserve">. </w:t>
      </w:r>
      <w:r>
        <w:rPr/>
        <w:t>Since our hypothesis focuses on the complementary role of the microbiome</w:t>
      </w:r>
      <w:r>
        <w:rPr/>
        <w:t xml:space="preserve">, we </w:t>
      </w:r>
      <w:r>
        <w:rPr/>
        <w:t>will attempt</w:t>
      </w:r>
      <w:r>
        <w:rPr/>
        <w:t xml:space="preserve"> </w:t>
      </w:r>
      <w:r>
        <w:rPr/>
        <w:t>enhance the PKS- and NRPS-targeting primers with</w:t>
      </w:r>
      <w:r>
        <w:rPr/>
        <w:t xml:space="preserve"> plant-blocking oligonucleotides</w:t>
      </w:r>
      <w:r>
        <w:rPr>
          <w:b w:val="false"/>
          <w:i w:val="false"/>
          <w:caps w:val="false"/>
          <w:smallCaps w:val="false"/>
          <w:u w:val="none"/>
          <w:vertAlign w:val="superscript"/>
        </w:rPr>
        <w:t>12</w:t>
      </w:r>
      <w:r>
        <w:rPr/>
        <w:t xml:space="preserve">. </w:t>
      </w:r>
    </w:p>
    <w:p>
      <w:pPr>
        <w:pStyle w:val="Heading3"/>
        <w:rPr/>
      </w:pPr>
      <w:r>
        <w:rPr/>
        <w:t>Direct metabolite PCR tests</w:t>
      </w:r>
      <w:r>
        <w:rPr/>
        <w:t xml:space="preserve"> </w:t>
      </w:r>
    </w:p>
    <w:p>
      <w:pPr>
        <w:pStyle w:val="Normal"/>
        <w:rPr/>
      </w:pPr>
      <w:r>
        <w:rPr/>
      </w:r>
    </w:p>
    <w:p>
      <w:pPr>
        <w:pStyle w:val="TextBody"/>
        <w:rPr/>
      </w:pPr>
      <w:r>
        <w:rPr/>
        <w:t xml:space="preserve">Some key metabolites may not be detected in our metaboarcode survey, either because they are </w:t>
      </w:r>
      <w:r>
        <w:rPr/>
        <w:t xml:space="preserve">not </w:t>
      </w:r>
      <w:r>
        <w:rPr/>
        <w:t xml:space="preserve">synthesized using a </w:t>
      </w:r>
      <w:r>
        <w:rPr/>
        <w:t>NR-</w:t>
      </w:r>
      <w:r>
        <w:rPr/>
        <w:t xml:space="preserve">peptide or polyketide backbone, or because of sampling error. </w:t>
      </w:r>
      <w:r>
        <w:rPr/>
        <w:t>Our m</w:t>
      </w:r>
      <w:r>
        <w:rPr/>
        <w:t xml:space="preserve">etabarcode </w:t>
      </w:r>
      <w:r>
        <w:rPr/>
        <w:t xml:space="preserve">survey </w:t>
      </w:r>
      <w:r>
        <w:rPr/>
        <w:t xml:space="preserve">will be augmented with more targeted PCR surveys for the presence of biosynthetic pathways of select microbial products. </w:t>
      </w:r>
      <w:r>
        <w:rPr/>
        <w:t>W</w:t>
      </w:r>
      <w:r>
        <w:rPr/>
        <w:t xml:space="preserve">e </w:t>
      </w:r>
      <w:r>
        <w:rPr/>
        <w:t>will</w:t>
      </w:r>
      <w:r>
        <w:rPr/>
        <w:t xml:space="preserve"> </w:t>
      </w:r>
      <w:r>
        <w:rPr/>
        <w:t xml:space="preserve">research and </w:t>
      </w:r>
      <w:r>
        <w:rPr/>
        <w:t xml:space="preserve">develop primer sets for detection of key metabolic steps in the </w:t>
      </w:r>
      <w:r>
        <w:rPr/>
        <w:t>microbial (non-plant) bio</w:t>
      </w:r>
      <w:r>
        <w:rPr/>
        <w:t>synthesis of:</w:t>
      </w:r>
    </w:p>
    <w:p>
      <w:pPr>
        <w:pStyle w:val="TextBody"/>
        <w:numPr>
          <w:ilvl w:val="0"/>
          <w:numId w:val="2"/>
        </w:numPr>
        <w:rPr/>
      </w:pPr>
      <w:r>
        <w:rPr/>
        <w:t>A</w:t>
      </w:r>
      <w:r>
        <w:rPr/>
        <w:t xml:space="preserve">nti-herbivory response: </w:t>
      </w:r>
      <w:r>
        <w:rPr/>
        <w:t>e</w:t>
      </w:r>
      <w:r>
        <w:rPr/>
        <w:t xml:space="preserve">rgot </w:t>
      </w:r>
      <w:r>
        <w:rPr/>
        <w:t>alkaloids</w:t>
      </w:r>
      <w:r>
        <w:rPr>
          <w:b w:val="false"/>
          <w:i w:val="false"/>
          <w:caps w:val="false"/>
          <w:smallCaps w:val="false"/>
          <w:u w:val="none"/>
          <w:vertAlign w:val="superscript"/>
        </w:rPr>
        <w:t>13–15</w:t>
      </w:r>
      <w:r>
        <w:rPr/>
        <w:t xml:space="preserve"> </w:t>
      </w:r>
      <w:r>
        <w:rPr/>
        <w:t>and rugulosins</w:t>
      </w:r>
      <w:r>
        <w:rPr>
          <w:b w:val="false"/>
          <w:i w:val="false"/>
          <w:caps w:val="false"/>
          <w:smallCaps w:val="false"/>
          <w:u w:val="none"/>
          <w:vertAlign w:val="superscript"/>
        </w:rPr>
        <w:t>16–18</w:t>
      </w:r>
    </w:p>
    <w:p>
      <w:pPr>
        <w:pStyle w:val="TextBody"/>
        <w:numPr>
          <w:ilvl w:val="0"/>
          <w:numId w:val="2"/>
        </w:numPr>
        <w:rPr/>
      </w:pPr>
      <w:r>
        <w:rPr/>
        <w:t>D</w:t>
      </w:r>
      <w:r>
        <w:rPr/>
        <w:t xml:space="preserve">rought stress response: </w:t>
      </w:r>
      <w:r>
        <w:rPr/>
        <w:t>m</w:t>
      </w:r>
      <w:r>
        <w:rPr/>
        <w:t>icrobial-</w:t>
      </w:r>
      <w:r>
        <w:rPr/>
        <w:t>origin</w:t>
      </w:r>
      <w:r>
        <w:rPr/>
        <w:t xml:space="preserve"> </w:t>
      </w:r>
      <w:r>
        <w:rPr/>
        <w:t xml:space="preserve">antioxidants </w:t>
      </w:r>
      <w:r>
        <w:rPr/>
        <w:t>superoxide dismutase</w:t>
      </w:r>
      <w:r>
        <w:rPr>
          <w:b w:val="false"/>
          <w:i w:val="false"/>
          <w:caps w:val="false"/>
          <w:smallCaps w:val="false"/>
          <w:u w:val="none"/>
          <w:vertAlign w:val="superscript"/>
        </w:rPr>
        <w:t>19,20</w:t>
      </w:r>
      <w:r>
        <w:rPr/>
        <w:t xml:space="preserve"> and catalase</w:t>
      </w:r>
      <w:r>
        <w:rPr>
          <w:b w:val="false"/>
          <w:i w:val="false"/>
          <w:caps w:val="false"/>
          <w:smallCaps w:val="false"/>
          <w:u w:val="none"/>
          <w:vertAlign w:val="superscript"/>
        </w:rPr>
        <w:t>21,22</w:t>
      </w:r>
      <w:r>
        <w:rPr/>
        <w:t xml:space="preserve">, </w:t>
      </w:r>
      <w:r>
        <w:rPr/>
        <w:t xml:space="preserve">microbial-origin </w:t>
      </w:r>
      <w:r>
        <w:rPr/>
        <w:t>osmolyte proline</w:t>
      </w:r>
      <w:r>
        <w:rPr>
          <w:b w:val="false"/>
          <w:i w:val="false"/>
          <w:caps w:val="false"/>
          <w:smallCaps w:val="false"/>
          <w:u w:val="none"/>
          <w:vertAlign w:val="superscript"/>
        </w:rPr>
        <w:t>23–25</w:t>
      </w:r>
    </w:p>
    <w:p>
      <w:pPr>
        <w:pStyle w:val="TextBody"/>
        <w:numPr>
          <w:ilvl w:val="0"/>
          <w:numId w:val="2"/>
        </w:numPr>
        <w:rPr/>
      </w:pPr>
      <w:r>
        <w:rPr/>
        <w:t>P</w:t>
      </w:r>
      <w:r>
        <w:rPr/>
        <w:t xml:space="preserve">athogen response: </w:t>
      </w:r>
      <w:r>
        <w:rPr/>
        <w:t>f</w:t>
      </w:r>
      <w:r>
        <w:rPr/>
        <w:t xml:space="preserve">ungal anti-mycotic compounds </w:t>
      </w:r>
      <w:r>
        <w:rPr/>
        <w:t>e</w:t>
      </w:r>
      <w:r>
        <w:rPr/>
        <w:t>chinocandins</w:t>
      </w:r>
      <w:r>
        <w:rPr>
          <w:b w:val="false"/>
          <w:i w:val="false"/>
          <w:caps w:val="false"/>
          <w:smallCaps w:val="false"/>
          <w:u w:val="none"/>
          <w:vertAlign w:val="superscript"/>
        </w:rPr>
        <w:t>8,26</w:t>
      </w:r>
      <w:r>
        <w:rPr/>
        <w:t>, polyenols</w:t>
      </w:r>
      <w:r>
        <w:rPr>
          <w:b w:val="false"/>
          <w:i w:val="false"/>
          <w:caps w:val="false"/>
          <w:smallCaps w:val="false"/>
          <w:u w:val="none"/>
          <w:vertAlign w:val="superscript"/>
        </w:rPr>
        <w:t>27–29</w:t>
      </w:r>
      <w:r>
        <w:rPr/>
        <w:t xml:space="preserve">, </w:t>
      </w:r>
      <w:r>
        <w:rPr/>
        <w:t xml:space="preserve">and </w:t>
      </w:r>
      <w:r>
        <w:rPr/>
        <w:t>strobilurins</w:t>
      </w:r>
      <w:r>
        <w:rPr>
          <w:b w:val="false"/>
          <w:i w:val="false"/>
          <w:caps w:val="false"/>
          <w:smallCaps w:val="false"/>
          <w:u w:val="none"/>
          <w:vertAlign w:val="superscript"/>
        </w:rPr>
        <w:t>30,31</w:t>
      </w:r>
      <w:r>
        <w:rPr/>
        <w:t>.</w:t>
      </w:r>
    </w:p>
    <w:p>
      <w:pPr>
        <w:pStyle w:val="Normal"/>
        <w:rPr/>
      </w:pPr>
      <w:r>
        <w:rPr/>
        <w:t>Existing literature and public databases will be use to develop pathway-specific primers each of these enzyme synthesis pathways.</w:t>
      </w:r>
    </w:p>
    <w:p>
      <w:pPr>
        <w:pStyle w:val="Normal"/>
        <w:rPr/>
      </w:pPr>
      <w:r>
        <w:rPr/>
        <w:drawing>
          <wp:anchor behindDoc="0" distT="0" distB="0" distL="0" distR="0" simplePos="0" locked="0" layoutInCell="1" allowOverlap="1" relativeHeight="4">
            <wp:simplePos x="0" y="0"/>
            <wp:positionH relativeFrom="column">
              <wp:posOffset>460375</wp:posOffset>
            </wp:positionH>
            <wp:positionV relativeFrom="paragraph">
              <wp:posOffset>177800</wp:posOffset>
            </wp:positionV>
            <wp:extent cx="5248275" cy="2321560"/>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4"/>
                    <a:stretch>
                      <a:fillRect/>
                    </a:stretch>
                  </pic:blipFill>
                  <pic:spPr bwMode="auto">
                    <a:xfrm>
                      <a:off x="0" y="0"/>
                      <a:ext cx="5248275" cy="2321560"/>
                    </a:xfrm>
                    <a:prstGeom prst="rect">
                      <a:avLst/>
                    </a:prstGeom>
                  </pic:spPr>
                </pic:pic>
              </a:graphicData>
            </a:graphic>
          </wp:anchor>
        </w:drawing>
      </w:r>
    </w:p>
    <w:p>
      <w:pPr>
        <w:pStyle w:val="Heading3"/>
        <w:rPr/>
      </w:pPr>
      <w:r>
        <w:rPr/>
      </w:r>
    </w:p>
    <w:p>
      <w:pPr>
        <w:pStyle w:val="Heading3"/>
        <w:rPr/>
      </w:pPr>
      <w:r>
        <w:rPr/>
        <w:t>Host tree:</w:t>
      </w:r>
    </w:p>
    <w:p>
      <w:pPr>
        <w:pStyle w:val="TextBody"/>
        <w:rPr/>
      </w:pPr>
      <w:r>
        <w:rPr/>
        <w:t xml:space="preserve">Subject </w:t>
      </w:r>
      <w:r>
        <w:rPr/>
        <w:t xml:space="preserve">tree </w:t>
      </w:r>
      <w:r>
        <w:rPr/>
        <w:t>species</w:t>
      </w:r>
      <w:r>
        <w:rPr>
          <w:i/>
          <w:iCs/>
        </w:rPr>
        <w:t xml:space="preserve"> Eugenia nesiotica</w:t>
      </w:r>
      <w:r>
        <w:rPr>
          <w:i w:val="false"/>
          <w:iCs w:val="false"/>
        </w:rPr>
        <w:t xml:space="preserve"> was selected for its medium population density on the BCI forest dynamics plot (see map), for its history of research at BCI</w:t>
      </w:r>
      <w:r>
        <w:rPr>
          <w:b w:val="false"/>
          <w:i w:val="false"/>
          <w:iCs w:val="false"/>
          <w:caps w:val="false"/>
          <w:smallCaps w:val="false"/>
          <w:u w:val="none"/>
          <w:vertAlign w:val="superscript"/>
        </w:rPr>
        <w:t>32,33</w:t>
      </w:r>
      <w:r>
        <w:rPr>
          <w:i w:val="false"/>
          <w:iCs w:val="false"/>
        </w:rPr>
        <w:t xml:space="preserve">, </w:t>
      </w:r>
      <w:r>
        <w:rPr>
          <w:i w:val="false"/>
          <w:iCs w:val="false"/>
        </w:rPr>
        <w:t xml:space="preserve">and for </w:t>
      </w:r>
      <w:r>
        <w:rPr>
          <w:i w:val="false"/>
          <w:iCs w:val="false"/>
        </w:rPr>
        <w:t xml:space="preserve">its </w:t>
      </w:r>
      <w:r>
        <w:rPr>
          <w:i w:val="false"/>
          <w:iCs w:val="false"/>
        </w:rPr>
        <w:t xml:space="preserve">close </w:t>
      </w:r>
      <w:r>
        <w:rPr>
          <w:i w:val="false"/>
          <w:iCs w:val="false"/>
        </w:rPr>
        <w:t xml:space="preserve">relation to economically important species </w:t>
      </w:r>
      <w:r>
        <w:rPr>
          <w:i/>
          <w:iCs/>
        </w:rPr>
        <w:t>E. uniflora</w:t>
      </w:r>
      <w:r>
        <w:rPr>
          <w:i w:val="false"/>
          <w:iCs w:val="false"/>
        </w:rPr>
        <w:t xml:space="preserve">, </w:t>
      </w:r>
      <w:r>
        <w:rPr>
          <w:i w:val="false"/>
          <w:iCs w:val="false"/>
        </w:rPr>
        <w:t>whose transcriptome and genome are subject to ongoing investigation</w:t>
      </w:r>
      <w:r>
        <w:rPr>
          <w:b w:val="false"/>
          <w:i w:val="false"/>
          <w:iCs w:val="false"/>
          <w:caps w:val="false"/>
          <w:smallCaps w:val="false"/>
          <w:u w:val="none"/>
          <w:vertAlign w:val="superscript"/>
        </w:rPr>
        <w:t>34,35</w:t>
      </w:r>
      <w:r>
        <w:rPr>
          <w:i w:val="false"/>
          <w:iCs w:val="false"/>
        </w:rPr>
        <w:t xml:space="preserve">. </w:t>
      </w:r>
      <w:r>
        <w:rPr>
          <w:i w:val="false"/>
          <w:iCs w:val="false"/>
        </w:rPr>
        <w:t xml:space="preserve"> </w:t>
      </w:r>
      <w:r>
        <w:rPr>
          <w:i/>
          <w:iCs/>
        </w:rPr>
        <w:t xml:space="preserve"> </w:t>
      </w:r>
    </w:p>
    <w:p>
      <w:pPr>
        <w:pStyle w:val="Heading3"/>
        <w:rPr>
          <w:i w:val="false"/>
          <w:i w:val="false"/>
          <w:iCs w:val="false"/>
        </w:rPr>
      </w:pPr>
      <w:r>
        <w:rPr>
          <w:i w:val="false"/>
          <w:iCs w:val="false"/>
        </w:rPr>
        <w:t>S</w:t>
      </w:r>
      <w:r>
        <w:rPr>
          <w:i w:val="false"/>
          <w:iCs w:val="false"/>
        </w:rPr>
        <w:drawing>
          <wp:anchor behindDoc="0" distT="0" distB="0" distL="0" distR="0" simplePos="0" locked="0" layoutInCell="1" allowOverlap="1" relativeHeight="3">
            <wp:simplePos x="0" y="0"/>
            <wp:positionH relativeFrom="column">
              <wp:posOffset>4424045</wp:posOffset>
            </wp:positionH>
            <wp:positionV relativeFrom="paragraph">
              <wp:posOffset>195580</wp:posOffset>
            </wp:positionV>
            <wp:extent cx="1929765" cy="3129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1929765" cy="3129280"/>
                    </a:xfrm>
                    <a:prstGeom prst="rect">
                      <a:avLst/>
                    </a:prstGeom>
                  </pic:spPr>
                </pic:pic>
              </a:graphicData>
            </a:graphic>
          </wp:anchor>
        </w:drawing>
      </w:r>
      <w:r>
        <w:rPr>
          <w:i w:val="false"/>
          <w:iCs w:val="false"/>
        </w:rPr>
        <w:t>ampling scheme:</w:t>
      </w:r>
    </w:p>
    <w:p>
      <w:pPr>
        <w:pStyle w:val="TextBody"/>
        <w:rPr/>
      </w:pPr>
      <w:r>
        <w:rPr/>
        <w:t xml:space="preserve">In both survey methods, spatial analysis of the presence of “useful” metabolites produced by plant-associated microbes will be coupled with micro-site data, estimates of disease and herbivory load, and the proximity of conspecific trees. Leaf and root tissue will be collected </w:t>
      </w:r>
      <w:r>
        <w:rPr/>
        <w:t xml:space="preserve">at </w:t>
      </w:r>
      <w:r>
        <w:rPr/>
        <w:t>36</w:t>
      </w:r>
      <w:r>
        <w:rPr/>
        <w:t xml:space="preserve"> locations within the plot </w:t>
      </w:r>
      <w:r>
        <w:rPr/>
        <w:t>according to a spatial grid with a grain of 10</w:t>
      </w:r>
      <w:r>
        <w:rPr/>
        <w:t>0</w:t>
      </w:r>
      <w:r>
        <w:rPr/>
        <w:t xml:space="preserve">m. </w:t>
      </w:r>
      <w:r>
        <w:rPr/>
        <w:t>Epiphyte and endophyte microbial populations will be sampled.</w:t>
      </w:r>
      <w:r>
        <w:rPr/>
        <w:t xml:space="preserve"> </w:t>
      </w:r>
      <w:r>
        <w:rPr/>
        <w:t>A</w:t>
      </w:r>
      <w:r>
        <w:rPr/>
        <w:t xml:space="preserve">erial plant tissues will be sampled at upper and lower </w:t>
      </w:r>
      <w:r>
        <w:rPr/>
        <w:t>canopy</w:t>
      </w:r>
      <w:r>
        <w:rPr/>
        <w:t xml:space="preserve"> </w:t>
      </w:r>
      <w:r>
        <w:rPr/>
        <w:t xml:space="preserve">sites, to test micro-site variability in microbiome expression </w:t>
      </w:r>
      <w:r>
        <w:rPr/>
        <w:t>due to position in the canopy</w:t>
      </w:r>
      <w:r>
        <w:rPr/>
        <w:t xml:space="preserve">.  </w:t>
      </w:r>
      <w:r>
        <w:rPr/>
        <w:t xml:space="preserve">Three paired samples will be collected from each of three </w:t>
      </w:r>
      <w:r>
        <w:rPr/>
        <w:t>zones of an individual tree</w:t>
      </w:r>
      <w:r>
        <w:rPr/>
        <w:t xml:space="preserve">, which then will be pooled </w:t>
      </w:r>
      <w:r>
        <w:rPr/>
        <w:t xml:space="preserve">by zone and by community (endophyte or epiphyte) </w:t>
      </w:r>
      <w:r>
        <w:rPr/>
        <w:t xml:space="preserve">totaling to </w:t>
      </w:r>
      <w:r>
        <w:rPr/>
        <w:t xml:space="preserve">6 </w:t>
      </w:r>
      <w:r>
        <w:rPr/>
        <w:t>genomic DNA</w:t>
      </w:r>
      <w:r>
        <w:rPr/>
        <w:t xml:space="preserve"> samples per tree. </w:t>
      </w:r>
    </w:p>
    <w:p>
      <w:pPr>
        <w:pStyle w:val="Heading3"/>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6200" cy="10731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6"/>
                    <a:stretch>
                      <a:fillRect/>
                    </a:stretch>
                  </pic:blipFill>
                  <pic:spPr bwMode="auto">
                    <a:xfrm>
                      <a:off x="0" y="0"/>
                      <a:ext cx="76200" cy="107315"/>
                    </a:xfrm>
                    <a:prstGeom prst="rect">
                      <a:avLst/>
                    </a:prstGeom>
                  </pic:spPr>
                </pic:pic>
              </a:graphicData>
            </a:graphic>
          </wp:anchor>
        </w:drawing>
      </w:r>
      <w:r>
        <w:rPr/>
        <w:t>S</w:t>
      </w:r>
      <w:r>
        <w:rPr/>
        <w:t>ample preparation:</w:t>
      </w:r>
    </w:p>
    <w:p>
      <w:pPr>
        <w:pStyle w:val="TextBody"/>
        <w:rPr/>
      </w:pPr>
      <w:r>
        <w:rPr/>
        <w:t xml:space="preserve">Roots will be gently brushed clean of soil. </w:t>
      </w:r>
      <w:r>
        <w:rPr/>
        <w:t xml:space="preserve">To sample epiphytes of leaves </w:t>
      </w:r>
      <w:r>
        <w:rPr/>
        <w:t>and roots</w:t>
      </w:r>
      <w:r>
        <w:rPr/>
        <w:t xml:space="preserve">, leaves </w:t>
      </w:r>
      <w:r>
        <w:rPr/>
        <w:t xml:space="preserve">and root sections </w:t>
      </w:r>
      <w:r>
        <w:rPr/>
        <w:t>will</w:t>
      </w:r>
      <w:r>
        <w:rPr/>
        <w:t xml:space="preserve"> submerged in </w:t>
      </w:r>
      <w:r>
        <w:rPr/>
        <w:t>20 ml of 0.1% tween / sterile water mixture, and vortex-ed for 5 minutes. This wash fluid will be centrifuged, and the pellet frozen for later DNA extraction.</w:t>
      </w:r>
      <w:r>
        <w:rPr/>
        <w:t xml:space="preserve"> Root and l</w:t>
      </w:r>
      <w:r>
        <w:rPr/>
        <w:t>ea</w:t>
      </w:r>
      <w:r>
        <w:rPr/>
        <w:t>f</w:t>
      </w:r>
      <w:r>
        <w:rPr/>
        <w:t xml:space="preserve"> endophytes sampling will follow Thomas </w:t>
      </w:r>
      <w:r>
        <w:rPr/>
        <w:t>et al.</w:t>
      </w:r>
      <w:r>
        <w:rPr>
          <w:b w:val="false"/>
          <w:i w:val="false"/>
          <w:caps w:val="false"/>
          <w:smallCaps w:val="false"/>
          <w:u w:val="none"/>
          <w:vertAlign w:val="superscript"/>
        </w:rPr>
        <w:t>9</w:t>
      </w:r>
      <w:r>
        <w:rPr/>
        <w:t xml:space="preserve">, </w:t>
      </w:r>
      <w:r>
        <w:rPr/>
        <w:t xml:space="preserve">using </w:t>
      </w:r>
      <w:r>
        <w:rPr/>
        <w:t>a bleach-based surface sterilization method, followed by tissue homogenization and DNA extraction. Bulk DNA will be purified from host plant tissue and epiphyte wash-pellets using column kits, and selectively PCR-amplified with above PKS and NRPS primers (with added sample barcodes and Illumina platform adapters).</w:t>
      </w:r>
      <w:r>
        <w:rPr/>
        <w:t xml:space="preserve"> Sequences will be sequenced using a Illumina MiSeq platform sequencer. </w:t>
      </w:r>
      <w:r>
        <w:rPr/>
        <w:t xml:space="preserve">Plant pathogen loads and damage from herbivory will be </w:t>
      </w:r>
      <w:r>
        <w:rPr/>
        <w:t>phenotyped</w:t>
      </w:r>
      <w:r>
        <w:rPr/>
        <w:t xml:space="preserve"> </w:t>
      </w:r>
      <w:r>
        <w:rPr/>
        <w:t>from photos</w:t>
      </w:r>
      <w:r>
        <w:rPr>
          <w:b w:val="false"/>
          <w:i w:val="false"/>
          <w:caps w:val="false"/>
          <w:smallCaps w:val="false"/>
          <w:u w:val="none"/>
          <w:vertAlign w:val="superscript"/>
        </w:rPr>
        <w:t>36</w:t>
      </w:r>
      <w:r>
        <w:rPr/>
        <w:t xml:space="preserve"> of 10 randomly selected from leaves from upper and lower zones of the tree, in addition to photos of leaves harvested for endophyte and epiphyte sampling. </w:t>
      </w:r>
      <w:r>
        <w:rPr/>
        <w:t xml:space="preserve">50 grams of soil from each tree will also be harvested for soil moisture estimates. </w:t>
      </w:r>
    </w:p>
    <w:p>
      <w:pPr>
        <w:pStyle w:val="Heading3"/>
        <w:rPr/>
      </w:pPr>
      <w:r>
        <w:rPr/>
        <w:t xml:space="preserve">Bioinformatic and </w:t>
      </w:r>
      <w:r>
        <w:rPr/>
        <w:t>Statistical Analyses:</w:t>
      </w:r>
    </w:p>
    <w:p>
      <w:pPr>
        <w:pStyle w:val="TextBody"/>
        <w:rPr/>
      </w:pPr>
      <w:r>
        <w:rPr/>
        <w:t>Metabarcoding results will be subject to standard bioinformatic pipelines to re</w:t>
      </w:r>
      <w:r>
        <w:rPr/>
        <w:t>duce</w:t>
      </w:r>
      <w:r>
        <w:rPr/>
        <w:t xml:space="preserve"> sequencing art</w:t>
      </w:r>
      <w:r>
        <w:rPr/>
        <w:t>i</w:t>
      </w:r>
      <w:r>
        <w:rPr/>
        <w:t>fact</w:t>
      </w:r>
      <w:r>
        <w:rPr/>
        <w:t>s and group highly similar reads</w:t>
      </w:r>
      <w:r>
        <w:rPr>
          <w:b w:val="false"/>
          <w:i w:val="false"/>
          <w:caps w:val="false"/>
          <w:smallCaps w:val="false"/>
          <w:u w:val="none"/>
          <w:vertAlign w:val="superscript"/>
        </w:rPr>
        <w:t>37</w:t>
      </w:r>
      <w:r>
        <w:rPr/>
        <w:t xml:space="preserve">. </w:t>
      </w:r>
      <w:r>
        <w:rPr/>
        <w:t>Following this,</w:t>
      </w:r>
      <w:r>
        <w:rPr/>
        <w:t xml:space="preserve"> amplicon reads </w:t>
      </w:r>
      <w:r>
        <w:rPr/>
        <w:t>will be</w:t>
      </w:r>
      <w:r>
        <w:rPr/>
        <w:t xml:space="preserve"> </w:t>
      </w:r>
      <w:r>
        <w:rPr/>
        <w:t>evaluated and grouped using closest-</w:t>
      </w:r>
      <w:r>
        <w:rPr/>
        <w:t xml:space="preserve">known biosynthetic gene clusters using </w:t>
      </w:r>
      <w:r>
        <w:rPr/>
        <w:t xml:space="preserve">the software package </w:t>
      </w:r>
      <w:r>
        <w:rPr/>
        <w:t>eSNaPD</w:t>
      </w:r>
      <w:r>
        <w:rPr>
          <w:b w:val="false"/>
          <w:i w:val="false"/>
          <w:caps w:val="false"/>
          <w:smallCaps w:val="false"/>
          <w:u w:val="none"/>
          <w:vertAlign w:val="superscript"/>
        </w:rPr>
        <w:t>10,38</w:t>
      </w:r>
      <w:r>
        <w:rPr/>
        <w:t xml:space="preserve"> </w:t>
      </w:r>
      <w:r>
        <w:rPr/>
        <w:t>and public databases. The r</w:t>
      </w:r>
      <w:r>
        <w:rPr/>
        <w:t xml:space="preserve">esulting </w:t>
      </w:r>
      <w:r>
        <w:rPr/>
        <w:t>gene-cluster-by-sample-site matrix will be examined</w:t>
      </w:r>
      <w:r>
        <w:rPr/>
        <w:t xml:space="preserve"> standard numerical ecology-based methods for modeling large matrices as dependent objects of environmental data (“regression” of metabarcoding results against environmental data and </w:t>
      </w:r>
      <w:r>
        <w:rPr/>
        <w:t xml:space="preserve">spatial </w:t>
      </w:r>
      <w:r>
        <w:rPr/>
        <w:t>patterns</w:t>
      </w:r>
      <w:r>
        <w:rPr/>
        <w:t xml:space="preserve"> using redundancy analyses, including </w:t>
      </w:r>
      <w:r>
        <w:rPr/>
        <w:t xml:space="preserve">MEM and </w:t>
      </w:r>
      <w:r>
        <w:rPr/>
        <w:t>variation-partitioning methods)</w:t>
      </w:r>
      <w:r>
        <w:rPr>
          <w:b w:val="false"/>
          <w:i w:val="false"/>
          <w:caps w:val="false"/>
          <w:smallCaps w:val="false"/>
          <w:u w:val="none"/>
          <w:vertAlign w:val="superscript"/>
        </w:rPr>
        <w:t>39–42</w:t>
      </w:r>
      <w:r>
        <w:rPr/>
        <w:t>. Read libraries will also be mined for specific biosynthetic pathways of interest (alkaloids, antibiotics, antioxidants, etc), to the level of specificity allowed by the homology of the poly</w:t>
      </w:r>
      <w:r>
        <w:rPr/>
        <w:t>ketide</w:t>
      </w:r>
      <w:r>
        <w:rPr/>
        <w:t xml:space="preserve"> and peptide backbones. and these will be treated as point patterns</w:t>
      </w:r>
      <w:r>
        <w:rPr>
          <w:b w:val="false"/>
          <w:i w:val="false"/>
          <w:caps w:val="false"/>
          <w:smallCaps w:val="false"/>
          <w:u w:val="none"/>
          <w:vertAlign w:val="superscript"/>
        </w:rPr>
        <w:t>43</w:t>
      </w:r>
      <w:r>
        <w:rPr/>
        <w:t xml:space="preserve">, along with the results of the targeted PCR tests. Point patterns of secondary products of interest will analyzed for co-occurrence with environmental challenges, herbivory, pathogen loads, </w:t>
      </w:r>
      <w:r>
        <w:rPr/>
        <w:t xml:space="preserve">and proximity </w:t>
      </w:r>
      <w:r>
        <w:rPr/>
        <w:t>and size of</w:t>
      </w:r>
      <w:r>
        <w:rPr/>
        <w:t xml:space="preserve"> conspecifics </w:t>
      </w:r>
      <w:r>
        <w:rPr/>
        <w:t xml:space="preserve">and </w:t>
      </w:r>
      <w:r>
        <w:rPr/>
        <w:t xml:space="preserve">cluster </w:t>
      </w:r>
      <w:r>
        <w:rPr/>
        <w:t>size of nearest conspecifics</w:t>
      </w:r>
      <w:r>
        <w:rPr/>
        <w:t xml:space="preserve">. </w:t>
      </w:r>
    </w:p>
    <w:p>
      <w:pPr>
        <w:pStyle w:val="Heading2"/>
        <w:rPr/>
      </w:pPr>
      <w:r>
        <w:rPr/>
        <w:t>Conclusion: p</w:t>
      </w:r>
      <w:r>
        <w:rPr/>
        <w:t>ertinence to research on-going at Smithsonian Institute (SI) and Smithsonian Tropical Research Institute (STRI):</w:t>
      </w:r>
    </w:p>
    <w:p>
      <w:pPr>
        <w:pStyle w:val="Normal"/>
        <w:rPr/>
      </w:pPr>
      <w:r>
        <w:rPr/>
      </w:r>
    </w:p>
    <w:p>
      <w:pPr>
        <w:pStyle w:val="TextBody"/>
        <w:rPr/>
      </w:pPr>
      <w:r>
        <w:rPr/>
        <w:t xml:space="preserve">One of the greatest contributions to tropical </w:t>
      </w:r>
      <w:r>
        <w:rPr/>
        <w:t xml:space="preserve">ecology </w:t>
      </w:r>
      <w:r>
        <w:rPr/>
        <w:t xml:space="preserve">in recent memory by SI and STRI is </w:t>
      </w:r>
      <w:r>
        <w:rPr/>
        <w:t>the</w:t>
      </w:r>
      <w:r>
        <w:rPr/>
        <w:t xml:space="preserve"> empirical testing of the Janzen-Connell hypothesis </w:t>
      </w:r>
      <w:r>
        <w:rPr/>
        <w:t>of conspecific negative density dependence (CNDD)</w:t>
      </w:r>
      <w:r>
        <w:rPr/>
        <w:t xml:space="preserve">, and exploration of the mechanisms behind </w:t>
      </w:r>
      <w:r>
        <w:rPr/>
        <w:t>CNDD</w:t>
      </w:r>
      <w:r>
        <w:rPr>
          <w:b w:val="false"/>
          <w:i w:val="false"/>
          <w:caps w:val="false"/>
          <w:smallCaps w:val="false"/>
          <w:u w:val="none"/>
          <w:vertAlign w:val="superscript"/>
        </w:rPr>
        <w:t>44–47</w:t>
      </w:r>
      <w:r>
        <w:rPr/>
        <w:t xml:space="preserve">. </w:t>
      </w:r>
      <w:r>
        <w:rPr/>
        <w:t>Dr. Allen Herre and colleagues at STRI</w:t>
      </w:r>
      <w:r>
        <w:rPr/>
        <w:t xml:space="preserve"> found that soil-born enemies may be main culprits in the negative density dependence patterns of rare trees in the tropics, but noted that </w:t>
      </w:r>
      <w:r>
        <w:rPr/>
        <w:t>unlike rare trees,</w:t>
      </w:r>
      <w:r>
        <w:rPr/>
        <w:t xml:space="preserve"> highly abundant trees do not </w:t>
      </w:r>
      <w:r>
        <w:rPr/>
        <w:t>show patterns of</w:t>
      </w:r>
      <w:r>
        <w:rPr/>
        <w:t xml:space="preserve"> </w:t>
      </w:r>
      <w:r>
        <w:rPr/>
        <w:t>CNDD</w:t>
      </w:r>
      <w:r>
        <w:rPr>
          <w:b w:val="false"/>
          <w:i w:val="false"/>
          <w:caps w:val="false"/>
          <w:smallCaps w:val="false"/>
          <w:u w:val="none"/>
          <w:vertAlign w:val="superscript"/>
        </w:rPr>
        <w:t>32</w:t>
      </w:r>
      <w:r>
        <w:rPr/>
        <w:t>. Insufficient</w:t>
      </w:r>
      <w:r>
        <w:rPr/>
        <w:t xml:space="preserve"> gene</w:t>
      </w:r>
      <w:r>
        <w:rPr/>
        <w:t xml:space="preserve"> flo</w:t>
      </w:r>
      <w:r>
        <w:rPr/>
        <w:t xml:space="preserve">w and genetic variation in the genomes of rare plants trees </w:t>
      </w:r>
      <w:r>
        <w:rPr/>
        <w:t>has been proposed as</w:t>
      </w:r>
      <w:r>
        <w:rPr/>
        <w:t xml:space="preserve"> </w:t>
      </w:r>
      <w:r>
        <w:rPr/>
        <w:t>one mechanism for CNDD</w:t>
      </w:r>
      <w:r>
        <w:rPr>
          <w:b w:val="false"/>
          <w:i w:val="false"/>
          <w:caps w:val="false"/>
          <w:smallCaps w:val="false"/>
          <w:u w:val="none"/>
          <w:vertAlign w:val="superscript"/>
        </w:rPr>
        <w:t>33</w:t>
      </w:r>
      <w:r>
        <w:rPr/>
        <w:t>.</w:t>
      </w:r>
      <w:r>
        <w:rPr/>
        <w:t xml:space="preserve">  </w:t>
      </w:r>
    </w:p>
    <w:p>
      <w:pPr>
        <w:pStyle w:val="TextBody"/>
        <w:rPr/>
      </w:pPr>
      <w:r>
        <w:rPr/>
        <w:tab/>
      </w:r>
      <w:r>
        <w:rPr/>
        <w:t>The project here proposed</w:t>
      </w:r>
      <w:r>
        <w:rPr/>
        <w:t xml:space="preserve"> suggest</w:t>
      </w:r>
      <w:r>
        <w:rPr/>
        <w:t>s</w:t>
      </w:r>
      <w:r>
        <w:rPr/>
        <w:t xml:space="preserve"> another, complementary mechanism - if functional microbiomes are key to pathogen resist</w:t>
      </w:r>
      <w:r>
        <w:rPr/>
        <w:t>a</w:t>
      </w:r>
      <w:r>
        <w:rPr/>
        <w:t>nce,</w:t>
      </w:r>
      <w:r>
        <w:rPr>
          <w:b/>
          <w:bCs/>
        </w:rPr>
        <w:t xml:space="preserve"> then recruitment of </w:t>
      </w:r>
      <w:r>
        <w:rPr>
          <w:b/>
          <w:bCs/>
        </w:rPr>
        <w:t>beneficial</w:t>
      </w:r>
      <w:r>
        <w:rPr>
          <w:b/>
          <w:bCs/>
        </w:rPr>
        <w:t xml:space="preserve"> microorganisms into the micr</w:t>
      </w:r>
      <w:r>
        <w:rPr>
          <w:b/>
          <w:bCs/>
        </w:rPr>
        <w:t>o</w:t>
      </w:r>
      <w:r>
        <w:rPr>
          <w:b/>
          <w:bCs/>
        </w:rPr>
        <w:t xml:space="preserve">biome may </w:t>
      </w:r>
      <w:r>
        <w:rPr>
          <w:b/>
          <w:bCs/>
        </w:rPr>
        <w:t>function as</w:t>
      </w:r>
      <w:r>
        <w:rPr>
          <w:b/>
          <w:bCs/>
        </w:rPr>
        <w:t xml:space="preserve"> a positive-density-dependent feedback.</w:t>
      </w:r>
      <w:r>
        <w:rPr/>
        <w:t xml:space="preserve"> </w:t>
      </w:r>
      <w:r>
        <w:rPr/>
        <w:t>Dr. Herre and colleagues have observed that many important “horizontally-acquired” microbes can be transmitted to seedlings through litter of older trees</w:t>
      </w:r>
      <w:r>
        <w:rPr>
          <w:b w:val="false"/>
          <w:i w:val="false"/>
          <w:caps w:val="false"/>
          <w:smallCaps w:val="false"/>
          <w:u w:val="none"/>
          <w:vertAlign w:val="superscript"/>
        </w:rPr>
        <w:t>48</w:t>
      </w:r>
      <w:r>
        <w:rPr/>
        <w:t xml:space="preserve">. Abundant </w:t>
      </w:r>
      <w:r>
        <w:rPr/>
        <w:t>trees</w:t>
      </w:r>
      <w:r>
        <w:rPr/>
        <w:t xml:space="preserve"> may </w:t>
      </w:r>
      <w:r>
        <w:rPr/>
        <w:t xml:space="preserve">therefore </w:t>
      </w:r>
      <w:r>
        <w:rPr/>
        <w:t xml:space="preserve">be able to transmit their microbiomes to seedlings more successfully </w:t>
      </w:r>
      <w:r>
        <w:rPr/>
        <w:t>than rare trees simply as a function of volume of leaf litter,</w:t>
      </w:r>
      <w:r>
        <w:rPr/>
        <w:t xml:space="preserve"> </w:t>
      </w:r>
      <w:r>
        <w:rPr/>
        <w:t>a</w:t>
      </w:r>
      <w:r>
        <w:rPr/>
        <w:t xml:space="preserve"> positive-density-dependent feedback in seedling success. </w:t>
      </w:r>
      <w:r>
        <w:rPr/>
        <w:t>C</w:t>
      </w:r>
      <w:r>
        <w:rPr/>
        <w:t xml:space="preserve">lusters of abundant species may represent larger “target” areas not only for pathogens but for environmental recruitment of beneficial microbial partners.  </w:t>
      </w:r>
      <w:r>
        <w:rPr/>
        <w:t>Dr. Melissa McCormick at STRI and her colleagues</w:t>
      </w:r>
      <w:r>
        <w:rPr/>
        <w:t xml:space="preserve"> found hypersensitivity by host plants to availability of symbiotic soil fungal partners on the landscape</w:t>
      </w:r>
      <w:r>
        <w:rPr>
          <w:b w:val="false"/>
          <w:i w:val="false"/>
          <w:caps w:val="false"/>
          <w:smallCaps w:val="false"/>
          <w:u w:val="none"/>
          <w:vertAlign w:val="superscript"/>
        </w:rPr>
        <w:t>49</w:t>
      </w:r>
      <w:r>
        <w:rPr/>
        <w:t xml:space="preserve">.  This indicates that the availability of mutualistic symbioses may be important to overcoming the inhibitory effects of soil-born enemies and the negative density: both plant and fungal mycorrhizal partners presumably benefit by the presence of the other, </w:t>
      </w:r>
      <w:r>
        <w:rPr/>
        <w:t xml:space="preserve">a positive density feedback. </w:t>
      </w:r>
      <w:r>
        <w:rPr/>
        <w:t xml:space="preserve">However, </w:t>
      </w:r>
      <w:r>
        <w:rPr/>
        <w:t xml:space="preserve">McCormick and colleagues have also examined patterns in taxonomic diversity in fungal endophytes on a scale similar to the study proposed here, and found that </w:t>
      </w:r>
      <w:r>
        <w:rPr/>
        <w:t xml:space="preserve">taxonomic </w:t>
      </w:r>
      <w:r>
        <w:rPr/>
        <w:t xml:space="preserve">diversity patterns in fungal microbiome don’t </w:t>
      </w:r>
      <w:r>
        <w:rPr/>
        <w:t xml:space="preserve">necessarily </w:t>
      </w:r>
      <w:r>
        <w:rPr/>
        <w:t>correlate</w:t>
      </w:r>
      <w:r>
        <w:rPr/>
        <w:t xml:space="preserve"> </w:t>
      </w:r>
      <w:r>
        <w:rPr/>
        <w:t>p</w:t>
      </w:r>
      <w:r>
        <w:rPr/>
        <w:t>ositivel</w:t>
      </w:r>
      <w:r>
        <w:rPr/>
        <w:t xml:space="preserve">y </w:t>
      </w:r>
      <w:r>
        <w:rPr/>
        <w:t>with host post plant diversity</w:t>
      </w:r>
      <w:r>
        <w:rPr>
          <w:b w:val="false"/>
          <w:i w:val="false"/>
          <w:caps w:val="false"/>
          <w:smallCaps w:val="false"/>
          <w:u w:val="none"/>
          <w:vertAlign w:val="superscript"/>
        </w:rPr>
        <w:t>50</w:t>
      </w:r>
      <w:r>
        <w:rPr/>
        <w:t xml:space="preserve">.  </w:t>
      </w:r>
      <w:r>
        <w:rPr/>
        <w:t>This and other studies</w:t>
      </w:r>
      <w:r>
        <w:rPr>
          <w:b w:val="false"/>
          <w:i w:val="false"/>
          <w:caps w:val="false"/>
          <w:smallCaps w:val="false"/>
          <w:u w:val="none"/>
          <w:vertAlign w:val="superscript"/>
        </w:rPr>
        <w:t>51</w:t>
      </w:r>
      <w:r>
        <w:rPr/>
        <w:t xml:space="preserve"> indicate </w:t>
      </w:r>
      <w:r>
        <w:rPr/>
        <w:t xml:space="preserve">that </w:t>
      </w:r>
      <w:r>
        <w:rPr/>
        <w:t xml:space="preserve">classical taxonomic approaches to microbiome study need to be augmented </w:t>
      </w:r>
      <w:r>
        <w:rPr/>
        <w:t>by</w:t>
      </w:r>
      <w:r>
        <w:rPr/>
        <w:t xml:space="preserve"> </w:t>
      </w:r>
      <w:r>
        <w:rPr>
          <w:i/>
          <w:iCs/>
        </w:rPr>
        <w:t>functional</w:t>
      </w:r>
      <w:r>
        <w:rPr/>
        <w:t xml:space="preserve"> surveys of the microbiome </w:t>
      </w:r>
      <w:r>
        <w:rPr/>
        <w:t>such as here proposed</w:t>
      </w:r>
      <w:r>
        <w:rPr/>
        <w:t xml:space="preserve">.  </w:t>
      </w:r>
      <w:r>
        <w:br w:type="page"/>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Bibliography1"/>
        <w:rPr/>
      </w:pPr>
      <w:r>
        <w:rPr/>
        <w:t>1.</w:t>
        <w:tab/>
        <w:t xml:space="preserve">Rosenberg, E. &amp; Zilber-Rosenberg, I. Microbes drive evolution of animals and plants: the hologenome concept. </w:t>
      </w:r>
      <w:r>
        <w:rPr>
          <w:i/>
        </w:rPr>
        <w:t>mBio</w:t>
      </w:r>
      <w:r>
        <w:rPr/>
        <w:t xml:space="preserve"> </w:t>
      </w:r>
      <w:r>
        <w:rPr>
          <w:b/>
        </w:rPr>
        <w:t>7</w:t>
      </w:r>
      <w:r>
        <w:rPr/>
        <w:t>, e01395-15 (2016).</w:t>
      </w:r>
    </w:p>
    <w:p>
      <w:pPr>
        <w:pStyle w:val="Bibliography1"/>
        <w:rPr/>
      </w:pPr>
      <w:r>
        <w:rPr/>
        <w:t>2.</w:t>
        <w:tab/>
        <w:t xml:space="preserve">Laforest-Lapointe, I., Paquette, A., Messier, C. &amp; Kembel, S. W. Leaf bacterial diversity mediates plant diversity and ecosystem function relationships. </w:t>
      </w:r>
      <w:r>
        <w:rPr>
          <w:i/>
        </w:rPr>
        <w:t>Nature</w:t>
      </w:r>
      <w:r>
        <w:rPr/>
        <w:t xml:space="preserve"> </w:t>
      </w:r>
      <w:r>
        <w:rPr>
          <w:b/>
        </w:rPr>
        <w:t>546</w:t>
      </w:r>
      <w:r>
        <w:rPr/>
        <w:t>, 145–147 (2017).</w:t>
      </w:r>
    </w:p>
    <w:p>
      <w:pPr>
        <w:pStyle w:val="Bibliography1"/>
        <w:rPr/>
      </w:pPr>
      <w:r>
        <w:rPr/>
        <w:t>3.</w:t>
        <w:tab/>
        <w:t xml:space="preserve">Gazis, R. &amp; Chaverri, P. Wild trees in the Amazon basin harbor a great diversity of beneficial endosymbiotic fungi: is this evidence of protective mutualism? </w:t>
      </w:r>
      <w:r>
        <w:rPr>
          <w:i/>
        </w:rPr>
        <w:t>Fungal Ecology</w:t>
      </w:r>
      <w:r>
        <w:rPr/>
        <w:t xml:space="preserve"> </w:t>
      </w:r>
      <w:r>
        <w:rPr>
          <w:b/>
        </w:rPr>
        <w:t>17</w:t>
      </w:r>
      <w:r>
        <w:rPr/>
        <w:t>, 18–29 (2015).</w:t>
      </w:r>
    </w:p>
    <w:p>
      <w:pPr>
        <w:pStyle w:val="Bibliography1"/>
        <w:rPr/>
      </w:pPr>
      <w:r>
        <w:rPr/>
        <w:t>4.</w:t>
        <w:tab/>
        <w:t xml:space="preserve">Mejía, L. C. </w:t>
      </w:r>
      <w:r>
        <w:rPr>
          <w:i/>
        </w:rPr>
        <w:t>et al.</w:t>
      </w:r>
      <w:r>
        <w:rPr/>
        <w:t xml:space="preserve"> Endophytic fungi as biocontrol agents of </w:t>
      </w:r>
      <w:r>
        <w:rPr>
          <w:i/>
        </w:rPr>
        <w:t>Theobroma cacao</w:t>
      </w:r>
      <w:r>
        <w:rPr/>
        <w:t xml:space="preserve"> pathogens. </w:t>
      </w:r>
      <w:r>
        <w:rPr>
          <w:i/>
        </w:rPr>
        <w:t>Biological Control</w:t>
      </w:r>
      <w:r>
        <w:rPr/>
        <w:t xml:space="preserve"> </w:t>
      </w:r>
      <w:r>
        <w:rPr>
          <w:b/>
        </w:rPr>
        <w:t>46</w:t>
      </w:r>
      <w:r>
        <w:rPr/>
        <w:t>, 4–14 (2008).</w:t>
      </w:r>
    </w:p>
    <w:p>
      <w:pPr>
        <w:pStyle w:val="Bibliography1"/>
        <w:rPr/>
      </w:pPr>
      <w:r>
        <w:rPr/>
        <w:t>5.</w:t>
        <w:tab/>
        <w:t xml:space="preserve">Rodriguez, R. J. </w:t>
      </w:r>
      <w:r>
        <w:rPr>
          <w:i/>
        </w:rPr>
        <w:t>et al.</w:t>
      </w:r>
      <w:r>
        <w:rPr/>
        <w:t xml:space="preserve"> Stress tolerance in plants via habitat-adapted symbiosis. </w:t>
      </w:r>
      <w:r>
        <w:rPr>
          <w:i/>
        </w:rPr>
        <w:t>ISME J</w:t>
      </w:r>
      <w:r>
        <w:rPr/>
        <w:t xml:space="preserve"> </w:t>
      </w:r>
      <w:r>
        <w:rPr>
          <w:b/>
        </w:rPr>
        <w:t>2</w:t>
      </w:r>
      <w:r>
        <w:rPr/>
        <w:t>, 404–416 (2008).</w:t>
      </w:r>
    </w:p>
    <w:p>
      <w:pPr>
        <w:pStyle w:val="Bibliography1"/>
        <w:rPr/>
      </w:pPr>
      <w:r>
        <w:rPr/>
        <w:t>6.</w:t>
        <w:tab/>
        <w:t xml:space="preserve">Müller, D. B., Vogel, C., Bai, Y. &amp; Vorholt, J. A. The plant microbiota: systems-level insights and perspectives. </w:t>
      </w:r>
      <w:r>
        <w:rPr>
          <w:i/>
        </w:rPr>
        <w:t>Annual review of genetics</w:t>
      </w:r>
      <w:r>
        <w:rPr/>
        <w:t xml:space="preserve"> </w:t>
      </w:r>
      <w:r>
        <w:rPr>
          <w:b/>
        </w:rPr>
        <w:t>50</w:t>
      </w:r>
      <w:r>
        <w:rPr/>
        <w:t>, 211–234 (2016).</w:t>
      </w:r>
    </w:p>
    <w:p>
      <w:pPr>
        <w:pStyle w:val="Bibliography1"/>
        <w:rPr/>
      </w:pPr>
      <w:r>
        <w:rPr/>
        <w:t>7.</w:t>
        <w:tab/>
        <w:t xml:space="preserve">Bills, G. F. &amp; Gloer, J. B. Biologically Active Secondary Metabolites from the Fungi. </w:t>
      </w:r>
      <w:r>
        <w:rPr>
          <w:i/>
        </w:rPr>
        <w:t>Microbiology Spectrum</w:t>
      </w:r>
      <w:r>
        <w:rPr/>
        <w:t xml:space="preserve"> </w:t>
      </w:r>
      <w:r>
        <w:rPr>
          <w:b/>
        </w:rPr>
        <w:t>4</w:t>
      </w:r>
      <w:r>
        <w:rPr/>
        <w:t>, (2016).</w:t>
      </w:r>
    </w:p>
    <w:p>
      <w:pPr>
        <w:pStyle w:val="Bibliography1"/>
        <w:rPr/>
      </w:pPr>
      <w:r>
        <w:rPr/>
        <w:t>8.</w:t>
        <w:tab/>
        <w:t xml:space="preserve">Bills, G. </w:t>
      </w:r>
      <w:r>
        <w:rPr>
          <w:i/>
        </w:rPr>
        <w:t>et al.</w:t>
      </w:r>
      <w:r>
        <w:rPr/>
        <w:t xml:space="preserve"> New insights into the echinocandins and other fungal non-ribosomal peptides and peptaibiotics. </w:t>
      </w:r>
      <w:r>
        <w:rPr>
          <w:i/>
        </w:rPr>
        <w:t>Nat. Prod. Rep.</w:t>
      </w:r>
      <w:r>
        <w:rPr/>
        <w:t xml:space="preserve"> </w:t>
      </w:r>
      <w:r>
        <w:rPr>
          <w:b/>
        </w:rPr>
        <w:t>31</w:t>
      </w:r>
      <w:r>
        <w:rPr/>
        <w:t>, 1348–1375 (2014).</w:t>
      </w:r>
    </w:p>
    <w:p>
      <w:pPr>
        <w:pStyle w:val="Bibliography1"/>
        <w:rPr/>
      </w:pPr>
      <w:r>
        <w:rPr/>
        <w:t>9.</w:t>
        <w:tab/>
        <w:t xml:space="preserve">Thomas, D., Vandegrift, R., Roy, B. A., Hsieh, H.-M. &amp; Ju, Y.-M. Spatial patterns of fungal endophytes in a subtropical montane rainforest of northern Taiwan. </w:t>
      </w:r>
      <w:r>
        <w:rPr>
          <w:i/>
        </w:rPr>
        <w:t>Fungal Ecology</w:t>
      </w:r>
      <w:r>
        <w:rPr/>
        <w:t xml:space="preserve"> </w:t>
      </w:r>
      <w:r>
        <w:rPr>
          <w:b/>
        </w:rPr>
        <w:t>39</w:t>
      </w:r>
      <w:r>
        <w:rPr/>
        <w:t>, 316–327 (2019).</w:t>
      </w:r>
    </w:p>
    <w:p>
      <w:pPr>
        <w:pStyle w:val="Bibliography1"/>
        <w:rPr/>
      </w:pPr>
      <w:r>
        <w:rPr/>
        <w:t>10.</w:t>
        <w:tab/>
        <w:t xml:space="preserve">Charlop-Powers, Z. </w:t>
      </w:r>
      <w:r>
        <w:rPr>
          <w:i/>
        </w:rPr>
        <w:t>et al.</w:t>
      </w:r>
      <w:r>
        <w:rPr/>
        <w:t xml:space="preserve"> Global biogeographic sampling of bacterial secondary metabolism. </w:t>
      </w:r>
      <w:r>
        <w:rPr>
          <w:i/>
        </w:rPr>
        <w:t>eLife</w:t>
      </w:r>
      <w:r>
        <w:rPr/>
        <w:t xml:space="preserve"> </w:t>
      </w:r>
      <w:r>
        <w:rPr>
          <w:b/>
        </w:rPr>
        <w:t>4</w:t>
      </w:r>
      <w:r>
        <w:rPr/>
        <w:t>, e05048 (2015).</w:t>
      </w:r>
    </w:p>
    <w:p>
      <w:pPr>
        <w:pStyle w:val="Bibliography1"/>
        <w:rPr/>
      </w:pPr>
      <w:r>
        <w:rPr/>
        <w:t>11.</w:t>
        <w:tab/>
        <w:t xml:space="preserve">Schläpfer, P. </w:t>
      </w:r>
      <w:r>
        <w:rPr>
          <w:i/>
        </w:rPr>
        <w:t>et al.</w:t>
      </w:r>
      <w:r>
        <w:rPr/>
        <w:t xml:space="preserve"> Genome-Wide Prediction of Metabolic Enzymes, Pathways, and Gene Clusters in Plants. </w:t>
      </w:r>
      <w:r>
        <w:rPr>
          <w:i/>
        </w:rPr>
        <w:t>Plant Physiology</w:t>
      </w:r>
      <w:r>
        <w:rPr/>
        <w:t xml:space="preserve"> </w:t>
      </w:r>
      <w:r>
        <w:rPr>
          <w:b/>
        </w:rPr>
        <w:t>173</w:t>
      </w:r>
      <w:r>
        <w:rPr/>
        <w:t>, 2041–2059 (2017).</w:t>
      </w:r>
    </w:p>
    <w:p>
      <w:pPr>
        <w:pStyle w:val="Bibliography1"/>
        <w:rPr/>
      </w:pPr>
      <w:r>
        <w:rPr/>
        <w:t>12.</w:t>
        <w:tab/>
        <w:t xml:space="preserve">Vestheim, H., Deagle, B. E. &amp; Jarman, S. N. Application of Blocking Oligonucleotides to Improve Signal-to-Noise Ratio in a PCR. in </w:t>
      </w:r>
      <w:r>
        <w:rPr>
          <w:i/>
        </w:rPr>
        <w:t>PCR Protocols</w:t>
      </w:r>
      <w:r>
        <w:rPr/>
        <w:t xml:space="preserve"> (ed. Park, D. J.) 265–274 (Humana Press, 2011). doi:10.1007/978-1-60761-944-4_19.</w:t>
      </w:r>
    </w:p>
    <w:p>
      <w:pPr>
        <w:pStyle w:val="Bibliography1"/>
        <w:rPr/>
      </w:pPr>
      <w:r>
        <w:rPr/>
        <w:t>13.</w:t>
        <w:tab/>
        <w:t xml:space="preserve">Haarmann, T. </w:t>
      </w:r>
      <w:r>
        <w:rPr>
          <w:i/>
        </w:rPr>
        <w:t>et al.</w:t>
      </w:r>
      <w:r>
        <w:rPr/>
        <w:t xml:space="preserve"> The ergot alkaloid gene cluster in Claviceps purpurea: Extension of the cluster sequence and intra species evolution. </w:t>
      </w:r>
      <w:r>
        <w:rPr>
          <w:i/>
        </w:rPr>
        <w:t>Phytochemistry</w:t>
      </w:r>
      <w:r>
        <w:rPr/>
        <w:t xml:space="preserve"> </w:t>
      </w:r>
      <w:r>
        <w:rPr>
          <w:b/>
        </w:rPr>
        <w:t>66</w:t>
      </w:r>
      <w:r>
        <w:rPr/>
        <w:t>, 1312–1320 (2005).</w:t>
      </w:r>
    </w:p>
    <w:p>
      <w:pPr>
        <w:pStyle w:val="Bibliography1"/>
        <w:rPr/>
      </w:pPr>
      <w:r>
        <w:rPr/>
        <w:t>14.</w:t>
        <w:tab/>
        <w:t xml:space="preserve">Lorenz, N., Wilson, E. V., Machado, C., Schardl, C. L. &amp; Tudzynski, P. Comparison of Ergot Alkaloid Biosynthesis Gene Clusters in Claviceps Species Indicates Loss of Late Pathway Steps in Evolution of C. fusiformis. </w:t>
      </w:r>
      <w:r>
        <w:rPr>
          <w:i/>
        </w:rPr>
        <w:t>Appl. Environ. Microbiol.</w:t>
      </w:r>
      <w:r>
        <w:rPr/>
        <w:t xml:space="preserve"> </w:t>
      </w:r>
      <w:r>
        <w:rPr>
          <w:b/>
        </w:rPr>
        <w:t>73</w:t>
      </w:r>
      <w:r>
        <w:rPr/>
        <w:t>, 7185–7191 (2007).</w:t>
      </w:r>
    </w:p>
    <w:p>
      <w:pPr>
        <w:pStyle w:val="Bibliography1"/>
        <w:rPr/>
      </w:pPr>
      <w:r>
        <w:rPr/>
        <w:t>15.</w:t>
        <w:tab/>
        <w:t xml:space="preserve">Lorenz, N., Wilson, E. V., Machado, C., Schardl, C. L. &amp; Tudzynski, P. Claviceps fusiformis strain PRL 1980 ergot alkaloid synthesis (EAS) gene cluster, complete sequence. </w:t>
      </w:r>
      <w:r>
        <w:rPr>
          <w:i/>
        </w:rPr>
        <w:t>NCBI</w:t>
      </w:r>
      <w:r>
        <w:rPr/>
        <w:t xml:space="preserve"> http://www.ncbi.nlm.nih.gov/nuccore/EU006773.1 (2016).</w:t>
      </w:r>
    </w:p>
    <w:p>
      <w:pPr>
        <w:pStyle w:val="Bibliography1"/>
        <w:rPr/>
      </w:pPr>
      <w:r>
        <w:rPr/>
        <w:t>16.</w:t>
        <w:tab/>
        <w:t xml:space="preserve">Walker, A. K. </w:t>
      </w:r>
      <w:r>
        <w:rPr>
          <w:i/>
        </w:rPr>
        <w:t>et al.</w:t>
      </w:r>
      <w:r>
        <w:rPr/>
        <w:t xml:space="preserve"> Full genome of Phialocephala scopiformis DAOMC 229536, a fungal endophyte of spruce producing the potent anti-insectan compound rugulosin. </w:t>
      </w:r>
      <w:r>
        <w:rPr>
          <w:i/>
        </w:rPr>
        <w:t>Genome announcements</w:t>
      </w:r>
      <w:r>
        <w:rPr/>
        <w:t xml:space="preserve"> </w:t>
      </w:r>
      <w:r>
        <w:rPr>
          <w:b/>
        </w:rPr>
        <w:t>4</w:t>
      </w:r>
      <w:r>
        <w:rPr/>
        <w:t>, (2016).</w:t>
      </w:r>
    </w:p>
    <w:p>
      <w:pPr>
        <w:pStyle w:val="Bibliography1"/>
        <w:rPr/>
      </w:pPr>
      <w:r>
        <w:rPr/>
        <w:t>17.</w:t>
        <w:tab/>
        <w:t>Phialocephala scopiformis strain:CBS 120377 (ID 342682) - BioProject - NCBI. https://www.ncbi.nlm.nih.gov/bioproject/PRJNA342682.</w:t>
      </w:r>
    </w:p>
    <w:p>
      <w:pPr>
        <w:pStyle w:val="Bibliography1"/>
        <w:rPr/>
      </w:pPr>
      <w:r>
        <w:rPr/>
        <w:t>18.</w:t>
        <w:tab/>
        <w:t xml:space="preserve">Yang, D.-M., Sankawa, U., Ebizuka, Y. &amp; Shibata, S. Studies on fungal metabolites—XXXIII: Synthesis of model compounds of rugulosin. </w:t>
      </w:r>
      <w:r>
        <w:rPr>
          <w:i/>
        </w:rPr>
        <w:t>Tetrahedron</w:t>
      </w:r>
      <w:r>
        <w:rPr/>
        <w:t xml:space="preserve"> </w:t>
      </w:r>
      <w:r>
        <w:rPr>
          <w:b/>
        </w:rPr>
        <w:t>32</w:t>
      </w:r>
      <w:r>
        <w:rPr/>
        <w:t>, 333–335 (1976).</w:t>
      </w:r>
    </w:p>
    <w:p>
      <w:pPr>
        <w:pStyle w:val="Bibliography1"/>
        <w:rPr/>
      </w:pPr>
      <w:r>
        <w:rPr/>
        <w:t>19.</w:t>
        <w:tab/>
        <w:t xml:space="preserve">Wu, Q.-S., Zou, Y.-N. &amp; Fathi Abd-Allah, E. Chapter 15 - Mycorrhizal Association and ROS in Plants. in </w:t>
      </w:r>
      <w:r>
        <w:rPr>
          <w:i/>
        </w:rPr>
        <w:t>Oxidative Damage to Plants</w:t>
      </w:r>
      <w:r>
        <w:rPr/>
        <w:t xml:space="preserve"> (ed. Ahmad, P.) 453–475 (Academic Press, 2014). doi:10.1016/B978-0-12-799963-0.00015-0.</w:t>
      </w:r>
    </w:p>
    <w:p>
      <w:pPr>
        <w:pStyle w:val="Bibliography1"/>
        <w:rPr/>
      </w:pPr>
      <w:r>
        <w:rPr/>
        <w:t>20.</w:t>
        <w:tab/>
        <w:t xml:space="preserve">Gralla, E. B. &amp; Kosman, D. J. Molecular Genetics of Superoxide Dismutases in Yeasts and Related Fungi. in </w:t>
      </w:r>
      <w:r>
        <w:rPr>
          <w:i/>
        </w:rPr>
        <w:t>Advances in Genetics</w:t>
      </w:r>
      <w:r>
        <w:rPr/>
        <w:t xml:space="preserve"> (eds. Scandalios, J. G. &amp; Wright, T. R. F.) vol. 30 251–319 (Academic Press, 1992).</w:t>
      </w:r>
    </w:p>
    <w:p>
      <w:pPr>
        <w:pStyle w:val="Bibliography1"/>
        <w:rPr/>
      </w:pPr>
      <w:r>
        <w:rPr/>
        <w:t>21.</w:t>
        <w:tab/>
        <w:t xml:space="preserve">Isobe, K., Inoue, N., Takamatsu, Y., Kamada, K. &amp; Wakao, N. Production of catalase by fungi growing at low pH and high temperature. </w:t>
      </w:r>
      <w:r>
        <w:rPr>
          <w:i/>
        </w:rPr>
        <w:t>Journal of Bioscience and Bioengineering</w:t>
      </w:r>
      <w:r>
        <w:rPr/>
        <w:t xml:space="preserve"> </w:t>
      </w:r>
      <w:r>
        <w:rPr>
          <w:b/>
        </w:rPr>
        <w:t>101</w:t>
      </w:r>
      <w:r>
        <w:rPr/>
        <w:t>, 73–76 (2006).</w:t>
      </w:r>
    </w:p>
    <w:p>
      <w:pPr>
        <w:pStyle w:val="Bibliography1"/>
        <w:rPr/>
      </w:pPr>
      <w:r>
        <w:rPr/>
        <w:t>22.</w:t>
        <w:tab/>
        <w:t xml:space="preserve">Martins, D., Nguyen, D. &amp; English, A. M. Ctt1 catalase activity potentiates antifungal azoles in the emerging opportunistic pathogen Saccharomyces cerevisiae. </w:t>
      </w:r>
      <w:r>
        <w:rPr>
          <w:i/>
        </w:rPr>
        <w:t>Sci Rep</w:t>
      </w:r>
      <w:r>
        <w:rPr/>
        <w:t xml:space="preserve"> </w:t>
      </w:r>
      <w:r>
        <w:rPr>
          <w:b/>
        </w:rPr>
        <w:t>9</w:t>
      </w:r>
      <w:r>
        <w:rPr/>
        <w:t>, 9185 (2019).</w:t>
      </w:r>
    </w:p>
    <w:p>
      <w:pPr>
        <w:pStyle w:val="Bibliography1"/>
        <w:rPr/>
      </w:pPr>
      <w:r>
        <w:rPr/>
        <w:t>23.</w:t>
        <w:tab/>
        <w:t xml:space="preserve">Anwar Hossain, M., Hoque, Md. A., Burritt, D. J. &amp; Fujita, M. Chapter 16 - Proline Protects Plants Against Abiotic Oxidative Stress: Biochemical and Molecular Mechanisms. in </w:t>
      </w:r>
      <w:r>
        <w:rPr>
          <w:i/>
        </w:rPr>
        <w:t>Oxidative Damage to Plants</w:t>
      </w:r>
      <w:r>
        <w:rPr/>
        <w:t xml:space="preserve"> (ed. Ahmad, P.) 477–522 (Academic Press, 2014). doi:10.1016/B978-0-12-799963-0.00016-2.</w:t>
      </w:r>
    </w:p>
    <w:p>
      <w:pPr>
        <w:pStyle w:val="Bibliography1"/>
        <w:rPr/>
      </w:pPr>
      <w:r>
        <w:rPr/>
        <w:t>24.</w:t>
        <w:tab/>
        <w:t xml:space="preserve">Chen, C. &amp; Dickman, M. B. Proline suppresses apoptosis in the fungal pathogen &lt;em&gt;Colletotrichum trifolii&lt;/em&gt;. </w:t>
      </w:r>
      <w:r>
        <w:rPr>
          <w:i/>
        </w:rPr>
        <w:t>Proc Natl Acad Sci U S A</w:t>
      </w:r>
      <w:r>
        <w:rPr/>
        <w:t xml:space="preserve"> </w:t>
      </w:r>
      <w:r>
        <w:rPr>
          <w:b/>
        </w:rPr>
        <w:t>102</w:t>
      </w:r>
      <w:r>
        <w:rPr/>
        <w:t>, 3459 (2005).</w:t>
      </w:r>
    </w:p>
    <w:p>
      <w:pPr>
        <w:pStyle w:val="Bibliography1"/>
        <w:rPr/>
      </w:pPr>
      <w:r>
        <w:rPr/>
        <w:t>25.</w:t>
        <w:tab/>
        <w:t xml:space="preserve">Mona, S. A. </w:t>
      </w:r>
      <w:r>
        <w:rPr>
          <w:i/>
        </w:rPr>
        <w:t>et al.</w:t>
      </w:r>
      <w:r>
        <w:rPr/>
        <w:t xml:space="preserve"> Increased resistance of drought by Trichoderma harzianum fungal treatment correlates with increased secondary metabolites and proline content. </w:t>
      </w:r>
      <w:r>
        <w:rPr>
          <w:i/>
        </w:rPr>
        <w:t>Journal of Integrative Agriculture</w:t>
      </w:r>
      <w:r>
        <w:rPr/>
        <w:t xml:space="preserve"> </w:t>
      </w:r>
      <w:r>
        <w:rPr>
          <w:b/>
        </w:rPr>
        <w:t>16</w:t>
      </w:r>
      <w:r>
        <w:rPr/>
        <w:t>, 1751–1757 (2017).</w:t>
      </w:r>
    </w:p>
    <w:p>
      <w:pPr>
        <w:pStyle w:val="Bibliography1"/>
        <w:rPr/>
      </w:pPr>
      <w:r>
        <w:rPr/>
        <w:t>26.</w:t>
        <w:tab/>
        <w:t xml:space="preserve">Hüttel, W., Youssar, L., Grüning, B. A., Günther, S. &amp; Hugentobler, K. G. Echinocandin B biosynthesis: a biosynthetic cluster from Aspergillus nidulans NRRL 8112 and reassembly of the subclusters Ecd and Hty from Aspergillus pachycristatus NRRL 11440 reveals a single coherent gene cluster. </w:t>
      </w:r>
      <w:r>
        <w:rPr>
          <w:i/>
        </w:rPr>
        <w:t>BMC Genomics</w:t>
      </w:r>
      <w:r>
        <w:rPr/>
        <w:t xml:space="preserve"> </w:t>
      </w:r>
      <w:r>
        <w:rPr>
          <w:b/>
        </w:rPr>
        <w:t>17</w:t>
      </w:r>
      <w:r>
        <w:rPr/>
        <w:t>, 570 (2016).</w:t>
      </w:r>
    </w:p>
    <w:p>
      <w:pPr>
        <w:pStyle w:val="Bibliography1"/>
        <w:rPr/>
      </w:pPr>
      <w:r>
        <w:rPr/>
        <w:t>27.</w:t>
        <w:tab/>
        <w:t xml:space="preserve">Yao, T. </w:t>
      </w:r>
      <w:r>
        <w:rPr>
          <w:i/>
        </w:rPr>
        <w:t>et al.</w:t>
      </w:r>
      <w:r>
        <w:rPr/>
        <w:t xml:space="preserve"> Characterization of the biosynthetic gene cluster of the polyene macrolide antibiotic reedsmycins from a marine-derived Streptomyces strain. </w:t>
      </w:r>
      <w:r>
        <w:rPr>
          <w:i/>
        </w:rPr>
        <w:t>Microbial Cell Factories</w:t>
      </w:r>
      <w:r>
        <w:rPr/>
        <w:t xml:space="preserve"> </w:t>
      </w:r>
      <w:r>
        <w:rPr>
          <w:b/>
        </w:rPr>
        <w:t>17</w:t>
      </w:r>
      <w:r>
        <w:rPr/>
        <w:t>, 98 (2018).</w:t>
      </w:r>
    </w:p>
    <w:p>
      <w:pPr>
        <w:pStyle w:val="Bibliography1"/>
        <w:rPr/>
      </w:pPr>
      <w:r>
        <w:rPr/>
        <w:t>28.</w:t>
        <w:tab/>
        <w:t xml:space="preserve">Morishita, Y., Zhang, H., Taniguchi, T., Mori, K. &amp; Asai, T. The Discovery of Fungal Polyene Macrolides via a Postgenomic Approach Reveals a Polyketide Macrocyclization by trans-Acting Thioesterase in Fungi. </w:t>
      </w:r>
      <w:r>
        <w:rPr>
          <w:i/>
        </w:rPr>
        <w:t>Org. Lett.</w:t>
      </w:r>
      <w:r>
        <w:rPr/>
        <w:t xml:space="preserve"> </w:t>
      </w:r>
      <w:r>
        <w:rPr>
          <w:b/>
        </w:rPr>
        <w:t>21</w:t>
      </w:r>
      <w:r>
        <w:rPr/>
        <w:t>, 4788–4792 (2019).</w:t>
      </w:r>
    </w:p>
    <w:p>
      <w:pPr>
        <w:pStyle w:val="Bibliography1"/>
        <w:rPr/>
      </w:pPr>
      <w:r>
        <w:rPr/>
        <w:t>29.</w:t>
        <w:tab/>
        <w:t>Ge, B., Liu, B. &amp; Zhang, K. Streptomyces albulus nystatin gene cluster, complete sequence; and hypothetical protein genes, complete cds. http://www.ncbi.nlm.nih.gov/nuccore/MG742725.1 (2018).</w:t>
      </w:r>
    </w:p>
    <w:p>
      <w:pPr>
        <w:pStyle w:val="Bibliography1"/>
        <w:rPr/>
      </w:pPr>
      <w:r>
        <w:rPr/>
        <w:t>30.</w:t>
        <w:tab/>
        <w:t xml:space="preserve">Nofiani, R. </w:t>
      </w:r>
      <w:r>
        <w:rPr>
          <w:i/>
        </w:rPr>
        <w:t>et al.</w:t>
      </w:r>
      <w:r>
        <w:rPr/>
        <w:t xml:space="preserve"> Strobilurin biosynthesis in Basidiomycete fungi. </w:t>
      </w:r>
      <w:r>
        <w:rPr>
          <w:i/>
        </w:rPr>
        <w:t>Nature Communications</w:t>
      </w:r>
      <w:r>
        <w:rPr/>
        <w:t xml:space="preserve"> </w:t>
      </w:r>
      <w:r>
        <w:rPr>
          <w:b/>
        </w:rPr>
        <w:t>9</w:t>
      </w:r>
      <w:r>
        <w:rPr/>
        <w:t>, 3940 (2018).</w:t>
      </w:r>
    </w:p>
    <w:p>
      <w:pPr>
        <w:pStyle w:val="Bibliography1"/>
        <w:rPr/>
      </w:pPr>
      <w:r>
        <w:rPr/>
        <w:t>31.</w:t>
        <w:tab/>
        <w:t xml:space="preserve">Nofiani, R., Willis, C. L., Simpson, T. J. &amp; Cox, R. J. Strobilurus tenacellus strobilurin gene cluster, partial sequence. </w:t>
      </w:r>
      <w:r>
        <w:rPr>
          <w:i/>
        </w:rPr>
        <w:t>NCBI</w:t>
      </w:r>
      <w:r>
        <w:rPr/>
        <w:t xml:space="preserve"> http://www.ncbi.nlm.nih.gov/nuccore/KY070339.1 (2020).</w:t>
      </w:r>
    </w:p>
    <w:p>
      <w:pPr>
        <w:pStyle w:val="Bibliography1"/>
        <w:rPr/>
      </w:pPr>
      <w:r>
        <w:rPr/>
        <w:t>32.</w:t>
        <w:tab/>
        <w:t xml:space="preserve">Mangan, S. A. </w:t>
      </w:r>
      <w:r>
        <w:rPr>
          <w:i/>
        </w:rPr>
        <w:t>et al.</w:t>
      </w:r>
      <w:r>
        <w:rPr/>
        <w:t xml:space="preserve"> Negative plant–soil feedback predicts tree-species relative abundance in a tropical forest. </w:t>
      </w:r>
      <w:r>
        <w:rPr>
          <w:i/>
        </w:rPr>
        <w:t>Nature</w:t>
      </w:r>
      <w:r>
        <w:rPr/>
        <w:t xml:space="preserve"> </w:t>
      </w:r>
      <w:r>
        <w:rPr>
          <w:b/>
        </w:rPr>
        <w:t>466</w:t>
      </w:r>
      <w:r>
        <w:rPr/>
        <w:t>, 752–755 (2010).</w:t>
      </w:r>
    </w:p>
    <w:p>
      <w:pPr>
        <w:pStyle w:val="Bibliography1"/>
        <w:rPr/>
      </w:pPr>
      <w:r>
        <w:rPr/>
        <w:t>33.</w:t>
        <w:tab/>
        <w:t xml:space="preserve">Marden, J. H. </w:t>
      </w:r>
      <w:r>
        <w:rPr>
          <w:i/>
        </w:rPr>
        <w:t>et al.</w:t>
      </w:r>
      <w:r>
        <w:rPr/>
        <w:t xml:space="preserve"> Ecological genomics of tropical trees: how local population size and allelic diversity of resistance genes relate to immune responses, cosusceptibility to pathogens, and negative density dependence. </w:t>
      </w:r>
      <w:r>
        <w:rPr>
          <w:i/>
        </w:rPr>
        <w:t>Molecular Ecology</w:t>
      </w:r>
      <w:r>
        <w:rPr/>
        <w:t xml:space="preserve"> </w:t>
      </w:r>
      <w:r>
        <w:rPr>
          <w:b/>
        </w:rPr>
        <w:t>26</w:t>
      </w:r>
      <w:r>
        <w:rPr/>
        <w:t>, 2498–2513 (2017).</w:t>
      </w:r>
    </w:p>
    <w:p>
      <w:pPr>
        <w:pStyle w:val="Bibliography1"/>
        <w:rPr/>
      </w:pPr>
      <w:r>
        <w:rPr/>
        <w:t>34.</w:t>
        <w:tab/>
        <w:t xml:space="preserve">Guzman, F., Kulcheski, F. R., Turchetto-Zolet, A. C. &amp; Margis, R. De novo assembly of Eugenia uniflora L. transcriptome and identification of genes from the terpenoid biosynthesis pathway. </w:t>
      </w:r>
      <w:r>
        <w:rPr>
          <w:i/>
        </w:rPr>
        <w:t>Plant Science</w:t>
      </w:r>
      <w:r>
        <w:rPr/>
        <w:t xml:space="preserve"> </w:t>
      </w:r>
      <w:r>
        <w:rPr>
          <w:b/>
        </w:rPr>
        <w:t>229</w:t>
      </w:r>
      <w:r>
        <w:rPr/>
        <w:t>, 238–246 (2014).</w:t>
      </w:r>
    </w:p>
    <w:p>
      <w:pPr>
        <w:pStyle w:val="Bibliography1"/>
        <w:rPr/>
      </w:pPr>
      <w:r>
        <w:rPr/>
        <w:t>35.</w:t>
        <w:tab/>
        <w:t>Eugenia uniflora (ID 504673) - BioProject - NCBI. https://www.ncbi.nlm.nih.gov/bioproject/PRJNA504673.</w:t>
      </w:r>
    </w:p>
    <w:p>
      <w:pPr>
        <w:pStyle w:val="Bibliography1"/>
        <w:rPr/>
      </w:pPr>
      <w:r>
        <w:rPr/>
        <w:t>36.</w:t>
        <w:tab/>
        <w:t xml:space="preserve">Ubbens, J. R. &amp; Stavness, I. Deep Plant Phenomics: A Deep Learning Platform for Complex Plant Phenotyping Tasks. </w:t>
      </w:r>
      <w:r>
        <w:rPr>
          <w:i/>
        </w:rPr>
        <w:t>Front. Plant Sci.</w:t>
      </w:r>
      <w:r>
        <w:rPr/>
        <w:t xml:space="preserve"> </w:t>
      </w:r>
      <w:r>
        <w:rPr>
          <w:b/>
        </w:rPr>
        <w:t>8</w:t>
      </w:r>
      <w:r>
        <w:rPr/>
        <w:t>, (2017).</w:t>
      </w:r>
    </w:p>
    <w:p>
      <w:pPr>
        <w:pStyle w:val="Bibliography1"/>
        <w:rPr/>
      </w:pPr>
      <w:r>
        <w:rPr/>
        <w:t>37.</w:t>
        <w:tab/>
        <w:t xml:space="preserve">Edgar, R. C. UPARSE: highly accurate OTU sequences from microbial amplicon reads. </w:t>
      </w:r>
      <w:r>
        <w:rPr>
          <w:i/>
        </w:rPr>
        <w:t>Nature Methods</w:t>
      </w:r>
      <w:r>
        <w:rPr/>
        <w:t xml:space="preserve"> </w:t>
      </w:r>
      <w:r>
        <w:rPr>
          <w:b/>
        </w:rPr>
        <w:t>10</w:t>
      </w:r>
      <w:r>
        <w:rPr/>
        <w:t>, 996–998 (2013).</w:t>
      </w:r>
    </w:p>
    <w:p>
      <w:pPr>
        <w:pStyle w:val="Bibliography1"/>
        <w:rPr/>
      </w:pPr>
      <w:r>
        <w:rPr/>
        <w:t>38.</w:t>
        <w:tab/>
        <w:t xml:space="preserve">Reddy, B. V. B., Milshteyn, A., Charlop-Powers, Z. &amp; Brady, S. F. eSNaPD: A Versatile, Web-Based Bioinformatics Platform for Surveying and Mining Natural Product Biosynthetic Diversity from Metagenomes. </w:t>
      </w:r>
      <w:r>
        <w:rPr>
          <w:i/>
        </w:rPr>
        <w:t>Chemistry &amp; Biology</w:t>
      </w:r>
      <w:r>
        <w:rPr/>
        <w:t xml:space="preserve"> </w:t>
      </w:r>
      <w:r>
        <w:rPr>
          <w:b/>
        </w:rPr>
        <w:t>21</w:t>
      </w:r>
      <w:r>
        <w:rPr/>
        <w:t>, 1023–1033 (2014).</w:t>
      </w:r>
    </w:p>
    <w:p>
      <w:pPr>
        <w:pStyle w:val="Bibliography1"/>
        <w:rPr/>
      </w:pPr>
      <w:r>
        <w:rPr/>
        <w:t>39.</w:t>
        <w:tab/>
        <w:t xml:space="preserve">Dray, S. </w:t>
      </w:r>
      <w:r>
        <w:rPr>
          <w:i/>
        </w:rPr>
        <w:t>et al.</w:t>
      </w:r>
      <w:r>
        <w:rPr/>
        <w:t xml:space="preserve"> Community ecology in the age of multivariate multiscale spatial analysis. </w:t>
      </w:r>
      <w:r>
        <w:rPr>
          <w:i/>
        </w:rPr>
        <w:t>Ecological Monographs</w:t>
      </w:r>
      <w:r>
        <w:rPr/>
        <w:t xml:space="preserve"> </w:t>
      </w:r>
      <w:r>
        <w:rPr>
          <w:b/>
        </w:rPr>
        <w:t>82</w:t>
      </w:r>
      <w:r>
        <w:rPr/>
        <w:t>, 257–275 (2012).</w:t>
      </w:r>
    </w:p>
    <w:p>
      <w:pPr>
        <w:pStyle w:val="Bibliography1"/>
        <w:rPr/>
      </w:pPr>
      <w:r>
        <w:rPr/>
        <w:t>40.</w:t>
        <w:tab/>
        <w:t xml:space="preserve">Bauman, D., Drouet, T., Dray, S. &amp; Vleminckx, J. Disentangling good from bad practices in the selection of spatial or phylogenetic eigenvectors. </w:t>
      </w:r>
      <w:r>
        <w:rPr>
          <w:i/>
        </w:rPr>
        <w:t>Ecography</w:t>
      </w:r>
      <w:r>
        <w:rPr/>
        <w:t xml:space="preserve"> </w:t>
      </w:r>
      <w:r>
        <w:rPr>
          <w:b/>
        </w:rPr>
        <w:t>41</w:t>
      </w:r>
      <w:r>
        <w:rPr/>
        <w:t>, 1638–1649 (2018).</w:t>
      </w:r>
    </w:p>
    <w:p>
      <w:pPr>
        <w:pStyle w:val="Bibliography1"/>
        <w:rPr/>
      </w:pPr>
      <w:r>
        <w:rPr/>
        <w:t>41.</w:t>
        <w:tab/>
        <w:t xml:space="preserve">Borcard, D., Gillet, F. &amp; Legendre, P. Spatial analysis of ecological data. in </w:t>
      </w:r>
      <w:r>
        <w:rPr>
          <w:i/>
        </w:rPr>
        <w:t>Numerical ecology with R</w:t>
      </w:r>
      <w:r>
        <w:rPr/>
        <w:t xml:space="preserve"> 227–292 (Springer, 2011).</w:t>
      </w:r>
    </w:p>
    <w:p>
      <w:pPr>
        <w:pStyle w:val="Bibliography1"/>
        <w:rPr/>
      </w:pPr>
      <w:r>
        <w:rPr/>
        <w:t>42.</w:t>
        <w:tab/>
        <w:t xml:space="preserve">Legendre, P. &amp; Legendre, L. </w:t>
      </w:r>
      <w:r>
        <w:rPr>
          <w:i/>
        </w:rPr>
        <w:t>Numerical Ecology</w:t>
      </w:r>
      <w:r>
        <w:rPr/>
        <w:t>. vol. 24 (Elsevier, 2012).</w:t>
      </w:r>
    </w:p>
    <w:p>
      <w:pPr>
        <w:pStyle w:val="Bibliography1"/>
        <w:rPr/>
      </w:pPr>
      <w:r>
        <w:rPr/>
        <w:t>43.</w:t>
        <w:tab/>
        <w:t xml:space="preserve">Baddeley, A., Rubak, E. &amp; Turner, R. </w:t>
      </w:r>
      <w:r>
        <w:rPr>
          <w:i/>
        </w:rPr>
        <w:t>Spatial point patterns: methodology and applications with R</w:t>
      </w:r>
      <w:r>
        <w:rPr/>
        <w:t>. (Chapman and Hall/CRC, 2015).</w:t>
      </w:r>
    </w:p>
    <w:p>
      <w:pPr>
        <w:pStyle w:val="Bibliography1"/>
        <w:rPr/>
      </w:pPr>
      <w:r>
        <w:rPr/>
        <w:t>44.</w:t>
        <w:tab/>
        <w:t xml:space="preserve">Janzen, D. H. Herbivores and the number of tree species in tropical forests. </w:t>
      </w:r>
      <w:r>
        <w:rPr>
          <w:i/>
        </w:rPr>
        <w:t>The American Naturalist</w:t>
      </w:r>
      <w:r>
        <w:rPr/>
        <w:t xml:space="preserve"> </w:t>
      </w:r>
      <w:r>
        <w:rPr>
          <w:b/>
        </w:rPr>
        <w:t>104</w:t>
      </w:r>
      <w:r>
        <w:rPr/>
        <w:t>, 501–528 (1970).</w:t>
      </w:r>
    </w:p>
    <w:p>
      <w:pPr>
        <w:pStyle w:val="Bibliography1"/>
        <w:rPr/>
      </w:pPr>
      <w:r>
        <w:rPr/>
        <w:t>45.</w:t>
        <w:tab/>
        <w:t xml:space="preserve">Connell, J. H., Den Boer, P. J. &amp; Gradwell, G. R. Dynamics of populations. </w:t>
      </w:r>
      <w:r>
        <w:rPr>
          <w:i/>
        </w:rPr>
        <w:t>Centre for Agricultural Publishing and Documentation, Wageningen, The Netherlands. chapter On the role of natural enemies in preventing competitive exclusion in some marine animals and in rain forest trees</w:t>
      </w:r>
      <w:r>
        <w:rPr/>
        <w:t xml:space="preserve"> 298–313 (1971).</w:t>
      </w:r>
    </w:p>
    <w:p>
      <w:pPr>
        <w:pStyle w:val="Bibliography1"/>
        <w:rPr/>
      </w:pPr>
      <w:r>
        <w:rPr/>
        <w:t>46.</w:t>
        <w:tab/>
        <w:t xml:space="preserve">Johnson, D. J., Beaulieu, W. T., Bever, J. D. &amp; Clay, K. Conspecific Negative Density Dependence and Forest Diversity. </w:t>
      </w:r>
      <w:r>
        <w:rPr>
          <w:i/>
        </w:rPr>
        <w:t>Science</w:t>
      </w:r>
      <w:r>
        <w:rPr/>
        <w:t xml:space="preserve"> </w:t>
      </w:r>
      <w:r>
        <w:rPr>
          <w:b/>
        </w:rPr>
        <w:t>336</w:t>
      </w:r>
      <w:r>
        <w:rPr/>
        <w:t>, 904–907 (2012).</w:t>
      </w:r>
    </w:p>
    <w:p>
      <w:pPr>
        <w:pStyle w:val="Bibliography1"/>
        <w:rPr/>
      </w:pPr>
      <w:r>
        <w:rPr/>
        <w:t>47.</w:t>
        <w:tab/>
        <w:t xml:space="preserve">Harms, K. E., Wright, S. J., Calderón, O., Hernández, A. &amp; Herre, E. A. Pervasive density-dependent recruitment enhances seedling diversity in a tropical forest. </w:t>
      </w:r>
      <w:r>
        <w:rPr>
          <w:i/>
        </w:rPr>
        <w:t>Nature</w:t>
      </w:r>
      <w:r>
        <w:rPr/>
        <w:t xml:space="preserve"> </w:t>
      </w:r>
      <w:r>
        <w:rPr>
          <w:b/>
        </w:rPr>
        <w:t>404</w:t>
      </w:r>
      <w:r>
        <w:rPr/>
        <w:t>, 493–495 (2000).</w:t>
      </w:r>
    </w:p>
    <w:p>
      <w:pPr>
        <w:pStyle w:val="Bibliography1"/>
        <w:rPr/>
      </w:pPr>
      <w:r>
        <w:rPr/>
        <w:t>48.</w:t>
        <w:tab/>
        <w:t xml:space="preserve">Christian, N., Herre, E. A., Mejia, L. C. &amp; Clay, K. Exposure to the leaf litter microbiome of healthy adults protects seedlings from pathogen damage. </w:t>
      </w:r>
      <w:r>
        <w:rPr>
          <w:i/>
        </w:rPr>
        <w:t>Proceedings of the Royal Society B: Biological Sciences</w:t>
      </w:r>
      <w:r>
        <w:rPr/>
        <w:t xml:space="preserve"> </w:t>
      </w:r>
      <w:r>
        <w:rPr>
          <w:b/>
        </w:rPr>
        <w:t>284</w:t>
      </w:r>
      <w:r>
        <w:rPr/>
        <w:t>, 20170641 (2017).</w:t>
      </w:r>
    </w:p>
    <w:p>
      <w:pPr>
        <w:pStyle w:val="Bibliography1"/>
        <w:rPr/>
      </w:pPr>
      <w:r>
        <w:rPr/>
        <w:t>49.</w:t>
        <w:tab/>
        <w:t xml:space="preserve">Rock‐Blake, R., McCormick, M. K., Brooks, H. E. A., Jones, C. S. &amp; Whigham, D. F. Symbiont abundance can affect host plant population dynamics. </w:t>
      </w:r>
      <w:r>
        <w:rPr>
          <w:i/>
        </w:rPr>
        <w:t>American Journal of Botany</w:t>
      </w:r>
      <w:r>
        <w:rPr/>
        <w:t xml:space="preserve"> </w:t>
      </w:r>
      <w:r>
        <w:rPr>
          <w:b/>
        </w:rPr>
        <w:t>104</w:t>
      </w:r>
      <w:r>
        <w:rPr/>
        <w:t>, 72–82 (2017).</w:t>
      </w:r>
    </w:p>
    <w:p>
      <w:pPr>
        <w:pStyle w:val="Bibliography1"/>
        <w:rPr/>
      </w:pPr>
      <w:r>
        <w:rPr/>
        <w:t>50.</w:t>
        <w:tab/>
        <w:t xml:space="preserve">Griffin, E. A., Harrison, J. G., McCormick, M. K., Burghardt, K. T. &amp; Parker, J. D. Tree Diversity Reduces Fungal Endophyte Richness and Diversity in a Large-Scale Temperate Forest Experiment. </w:t>
      </w:r>
      <w:r>
        <w:rPr>
          <w:i/>
        </w:rPr>
        <w:t>Diversity</w:t>
      </w:r>
      <w:r>
        <w:rPr/>
        <w:t xml:space="preserve"> </w:t>
      </w:r>
      <w:r>
        <w:rPr>
          <w:b/>
        </w:rPr>
        <w:t>11</w:t>
      </w:r>
      <w:r>
        <w:rPr/>
        <w:t>, 234 (2019).</w:t>
      </w:r>
    </w:p>
    <w:p>
      <w:pPr>
        <w:pStyle w:val="Bibliography1"/>
        <w:rPr/>
      </w:pPr>
      <w:r>
        <w:rPr/>
        <w:t>51.</w:t>
        <w:tab/>
        <w:t xml:space="preserve">Lemanceau, P., Blouin, M., Muller, D. &amp; Moënne-Loccoz, Y. Let the core microbiota be functional. </w:t>
      </w:r>
      <w:r>
        <w:rPr>
          <w:i/>
        </w:rPr>
        <w:t>Trends in plant science</w:t>
      </w:r>
      <w:r>
        <w:rPr/>
        <w:t xml:space="preserve"> </w:t>
      </w:r>
      <w:r>
        <w:rPr>
          <w:b/>
        </w:rPr>
        <w:t>22</w:t>
      </w:r>
      <w:r>
        <w:rPr/>
        <w:t>, 583–595 (2017).</w:t>
      </w:r>
    </w:p>
    <w:sectPr>
      <w:type w:val="continuous"/>
      <w:pgSz w:w="12240" w:h="15840"/>
      <w:pgMar w:left="1134" w:right="1134" w:header="0" w:top="1134" w:footer="0" w:bottom="1134"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28"/>
    </w:rPr>
  </w:style>
  <w:style w:type="paragraph" w:styleId="Heading3">
    <w:name w:val="Heading 3"/>
    <w:basedOn w:val="Heading"/>
    <w:next w:val="TextBody"/>
    <w:qFormat/>
    <w:pPr>
      <w:numPr>
        <w:ilvl w:val="2"/>
        <w:numId w:val="1"/>
      </w:numPr>
      <w:spacing w:before="140" w:after="120"/>
      <w:outlineLvl w:val="2"/>
    </w:pPr>
    <w:rPr>
      <w:b/>
      <w:bCs/>
      <w:sz w:val="24"/>
      <w:szCs w:val="24"/>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right" w:pos="9972" w:leader="dot"/>
      </w:tabs>
      <w:ind w:start="0"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bviewer.jupyter.org/github/danchurch/BCIgeneClusterSurveyIdeas/blob/main/BCIprimerhunts.ipynb" TargetMode="External"/><Relationship Id="rId3" Type="http://schemas.openxmlformats.org/officeDocument/2006/relationships/hyperlink" Target="https://nbviewer.jupyter.org/github/danchurch/BCIgeneClusterSurveyIdeas/blob/main/BCIprimerhunts.ipyn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519</TotalTime>
  <Application>LibreOffice/6.4.6.2$Linux_X86_64 LibreOffice_project/40$Build-2</Application>
  <Pages>9</Pages>
  <Words>2978</Words>
  <Characters>17289</Characters>
  <CharactersWithSpaces>20169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2020-10-22T10:37:26Z</dcterms:created>
  <dc:creator/>
  <dc:description/>
  <dc:language>en-US</dc:language>
  <cp:lastModifiedBy/>
  <dcterms:modified xsi:type="dcterms:W3CDTF">2020-10-30T22:11:19Z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id="r1bV4pVQ"/&gt;&lt;style id="http://www.zotero.org/styles/nature" hasBibliography="1" bibliographyStyleHasBeenSet="1"/&gt;&lt;prefs&gt;&lt;pref name="fieldType" value="ReferenceMark"/&gt;&lt;/prefs&gt;&lt;/data&gt;</vt:lpwstr>
  </property>
</Properties>
</file>