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jpeg" ContentType="image/jpeg"/>
  <Override PartName="/word/media/image4.jpeg" ContentType="image/jpeg"/>
  <Override PartName="/word/media/image5.png" ContentType="image/png"/>
  <Override PartName="/word/media/image8.jpeg" ContentType="image/jpeg"/>
  <Override PartName="/word/media/image6.jpeg" ContentType="image/jpeg"/>
  <Override PartName="/word/media/image13.png" ContentType="image/png"/>
  <Override PartName="/word/media/image7.jpeg" ContentType="image/jpeg"/>
  <Override PartName="/word/media/image11.png" ContentType="image/png"/>
  <Override PartName="/word/media/image9.jpeg" ContentType="image/jpeg"/>
  <Override PartName="/word/media/image10.jpeg" ContentType="image/jpeg"/>
  <Override PartName="/word/media/image12.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sz w:val="40"/>
          <w:szCs w:val="40"/>
          <w:lang w:val="en-US"/>
        </w:rPr>
        <w:t>Scaling up by looking closer: extending the range of moss-</w:t>
      </w:r>
      <w:r>
        <w:rPr>
          <w:i/>
          <w:sz w:val="40"/>
          <w:szCs w:val="40"/>
          <w:lang w:val="en-US"/>
        </w:rPr>
        <w:t>Nostoc</w:t>
      </w:r>
      <w:r>
        <w:rPr>
          <w:sz w:val="40"/>
          <w:szCs w:val="40"/>
          <w:lang w:val="en-US"/>
        </w:rPr>
        <w:t xml:space="preserve"> symbioses deeper into central Europe and to new moss hosts in the forest canopy</w:t>
      </w:r>
      <w:r>
        <w:rPr>
          <w:lang w:val="en-US"/>
        </w:rPr>
        <w:t xml:space="preserve"> </w:t>
      </w:r>
    </w:p>
    <w:p>
      <w:pPr>
        <w:pStyle w:val="Normal"/>
        <w:rPr/>
      </w:pPr>
      <w:r>
        <w:rPr/>
      </w:r>
    </w:p>
    <w:p>
      <w:pPr>
        <w:pStyle w:val="Normal"/>
        <w:rPr>
          <w:lang w:val="de-DE"/>
        </w:rPr>
      </w:pPr>
      <w:r>
        <w:rPr>
          <w:lang w:val="de-DE"/>
        </w:rPr>
        <w:t xml:space="preserve">Feulner Martin, Ulla Spieleder, Frederic J. Pascual Dose, Jona Motzkus, Daniel C. Thomas </w:t>
      </w:r>
    </w:p>
    <w:p>
      <w:pPr>
        <w:pStyle w:val="Heading1"/>
        <w:rPr>
          <w:sz w:val="28"/>
          <w:szCs w:val="28"/>
          <w:lang w:val="en-US"/>
        </w:rPr>
      </w:pPr>
      <w:r>
        <w:rPr>
          <w:sz w:val="28"/>
          <w:szCs w:val="28"/>
          <w:lang w:val="en-US"/>
        </w:rPr>
        <w:t>Abstract</w:t>
      </w:r>
    </w:p>
    <w:p>
      <w:pPr>
        <w:pStyle w:val="Normal"/>
        <w:rPr/>
      </w:pPr>
      <w:r>
        <w:rPr>
          <w:lang w:val="en-US"/>
        </w:rPr>
        <w:t>Since their re-discovery, Moss-cyano</w:t>
      </w:r>
      <w:r>
        <w:rPr/>
        <w:t xml:space="preserve">bacterial symbioses are of increasing interest, especially </w:t>
      </w:r>
      <w:r>
        <w:rPr>
          <w:i/>
          <w:lang w:val="en-US"/>
        </w:rPr>
        <w:t>Nostoc</w:t>
      </w:r>
      <w:r>
        <w:rPr>
          <w:lang w:val="en-US"/>
        </w:rPr>
        <w:t xml:space="preserve">-feather moss symbioses. Efforts to document </w:t>
      </w:r>
      <w:r>
        <w:rPr>
          <w:i/>
          <w:lang w:val="en-US"/>
        </w:rPr>
        <w:t>Nostoc</w:t>
      </w:r>
      <w:r>
        <w:rPr>
          <w:lang w:val="en-US"/>
        </w:rPr>
        <w:t xml:space="preserve">-feather moss symbioses have historically been centered in Scandinavia and the North American Boreal forest zone. Herein we report the results of several opportunistic surveys investigating the occurrence of </w:t>
      </w:r>
      <w:r>
        <w:rPr>
          <w:i/>
          <w:lang w:val="en-US"/>
        </w:rPr>
        <w:t>Nostoc</w:t>
      </w:r>
      <w:r>
        <w:rPr>
          <w:lang w:val="en-US"/>
        </w:rPr>
        <w:t xml:space="preserve">-moss symbioses in the region of Franconia (Germany). Using culture- and microscopy-based methods, we confirm the occurrence of such symbioses in our region. Two new moss host species of the epiphytic family Orthotrichaceae, </w:t>
      </w:r>
      <w:r>
        <w:rPr>
          <w:i/>
          <w:iCs/>
          <w:lang w:val="en-US"/>
        </w:rPr>
        <w:t>Orthotrichum</w:t>
      </w:r>
      <w:r>
        <w:rPr>
          <w:lang w:val="en-US"/>
        </w:rPr>
        <w:t xml:space="preserve"> and </w:t>
      </w:r>
      <w:r>
        <w:rPr>
          <w:i/>
          <w:iCs/>
          <w:lang w:val="en-US"/>
        </w:rPr>
        <w:t>Zygodon</w:t>
      </w:r>
      <w:r>
        <w:rPr>
          <w:lang w:val="en-US"/>
        </w:rPr>
        <w:t xml:space="preserve">, are also documented, further extending the range of known moss hosts for </w:t>
      </w:r>
      <w:r>
        <w:rPr>
          <w:i/>
          <w:lang w:val="en-US"/>
        </w:rPr>
        <w:t>Nostoc</w:t>
      </w:r>
      <w:r>
        <w:rPr>
          <w:lang w:val="en-US"/>
        </w:rPr>
        <w:t xml:space="preserve">-like organisms outside the traditional feather moss (Hypnales) and </w:t>
      </w:r>
      <w:r>
        <w:rPr>
          <w:i/>
          <w:iCs/>
          <w:lang w:val="en-US"/>
        </w:rPr>
        <w:t>Sphagnum</w:t>
      </w:r>
      <w:r>
        <w:rPr>
          <w:lang w:val="en-US"/>
        </w:rPr>
        <w:t xml:space="preserve"> clades. Full length 16S sequence alignments placed the moss-associated </w:t>
      </w:r>
      <w:r>
        <w:rPr>
          <w:i/>
          <w:iCs/>
          <w:lang w:val="en-US"/>
        </w:rPr>
        <w:t>Nostoc</w:t>
      </w:r>
      <w:r>
        <w:rPr>
          <w:lang w:val="en-US"/>
        </w:rPr>
        <w:t xml:space="preserve">-like organisms throughout our </w:t>
      </w:r>
      <w:r>
        <w:rPr>
          <w:i w:val="false"/>
          <w:iCs w:val="false"/>
          <w:lang w:val="en-US"/>
        </w:rPr>
        <w:t>Nostocaceae</w:t>
      </w:r>
      <w:r>
        <w:rPr>
          <w:lang w:val="en-US"/>
        </w:rPr>
        <w:t xml:space="preserve"> phylogeny, with no obvious single symbiotic clade. We note the presence of multiple alternate </w:t>
      </w:r>
      <w:r>
        <w:rPr>
          <w:i/>
          <w:lang w:val="en-US"/>
        </w:rPr>
        <w:t>nifH</w:t>
      </w:r>
      <w:r>
        <w:rPr>
          <w:lang w:val="en-US"/>
        </w:rPr>
        <w:t xml:space="preserve"> genes within the genomes of single </w:t>
      </w:r>
      <w:r>
        <w:rPr>
          <w:i/>
          <w:iCs/>
          <w:lang w:val="en-US"/>
        </w:rPr>
        <w:t>Nostoc</w:t>
      </w:r>
      <w:r>
        <w:rPr>
          <w:lang w:val="en-US"/>
        </w:rPr>
        <w:t>-like organisms, possibly enabling diazotrophy under variable ecological conditions. We also present evidence for possible endophytic colonization by cyanobacteria of stems of mosses.</w:t>
      </w:r>
    </w:p>
    <w:p>
      <w:pPr>
        <w:pStyle w:val="Normal"/>
        <w:rPr>
          <w:i w:val="false"/>
          <w:i w:val="false"/>
          <w:iCs w:val="false"/>
          <w:lang w:val="en-US"/>
        </w:rPr>
      </w:pPr>
      <w:r>
        <w:rPr>
          <w:i w:val="false"/>
          <w:iCs w:val="false"/>
          <w:lang w:val="en-US"/>
        </w:rPr>
      </w:r>
    </w:p>
    <w:p>
      <w:pPr>
        <w:pStyle w:val="Heading1"/>
        <w:rPr>
          <w:sz w:val="28"/>
          <w:szCs w:val="28"/>
          <w:lang w:val="en-US"/>
        </w:rPr>
      </w:pPr>
      <w:r>
        <w:rPr>
          <w:sz w:val="28"/>
          <w:szCs w:val="28"/>
          <w:lang w:val="en-US"/>
        </w:rPr>
        <w:t>Keywords</w:t>
      </w:r>
    </w:p>
    <w:p>
      <w:pPr>
        <w:pStyle w:val="Normal"/>
        <w:rPr/>
      </w:pPr>
      <w:r>
        <w:rPr>
          <w:i w:val="false"/>
          <w:iCs w:val="false"/>
          <w:lang w:val="en-US"/>
        </w:rPr>
        <w:t>Nostocaceae</w:t>
      </w:r>
      <w:r>
        <w:rPr>
          <w:lang w:val="en-US"/>
        </w:rPr>
        <w:t>, Hypnales, Orthotrichaceae, endophyte, cyanobacteria</w:t>
      </w:r>
    </w:p>
    <w:p>
      <w:pPr>
        <w:pStyle w:val="Heading1"/>
        <w:rPr>
          <w:sz w:val="28"/>
          <w:szCs w:val="28"/>
        </w:rPr>
      </w:pPr>
      <w:bookmarkStart w:id="0" w:name="_boh1cslznrfd"/>
      <w:bookmarkEnd w:id="0"/>
      <w:r>
        <w:rPr>
          <w:sz w:val="28"/>
          <w:szCs w:val="28"/>
        </w:rPr>
        <w:t>Introduction</w:t>
      </w:r>
    </w:p>
    <w:p>
      <w:pPr>
        <w:pStyle w:val="Normal"/>
        <w:spacing w:before="0" w:after="240"/>
        <w:rPr/>
      </w:pPr>
      <w:r>
        <w:rPr>
          <w:rFonts w:eastAsia="Arial" w:cs="Arial"/>
          <w:sz w:val="22"/>
          <w:szCs w:val="22"/>
          <w:lang w:val="en-US"/>
        </w:rPr>
        <w:t xml:space="preserve">Close associations between </w:t>
      </w:r>
      <w:r>
        <w:rPr>
          <w:rFonts w:eastAsia="Arial" w:cs="Arial"/>
          <w:i/>
          <w:iCs/>
          <w:sz w:val="22"/>
          <w:szCs w:val="22"/>
          <w:lang w:val="en-US"/>
        </w:rPr>
        <w:t xml:space="preserve">Nostoc </w:t>
      </w:r>
      <w:r>
        <w:rPr>
          <w:rFonts w:eastAsia="Arial" w:cs="Arial"/>
          <w:sz w:val="22"/>
          <w:szCs w:val="22"/>
          <w:lang w:val="en-US"/>
        </w:rPr>
        <w:t xml:space="preserve">cyanobacteria and mosses have been noted by naturalists for over a century. Among the first described species of </w:t>
      </w:r>
      <w:r>
        <w:rPr>
          <w:rFonts w:eastAsia="Arial" w:cs="Arial"/>
          <w:i/>
          <w:iCs/>
          <w:sz w:val="22"/>
          <w:szCs w:val="22"/>
          <w:lang w:val="en-US"/>
        </w:rPr>
        <w:t xml:space="preserve">Nostoc </w:t>
      </w:r>
      <w:r>
        <w:rPr>
          <w:rFonts w:eastAsia="Arial" w:cs="Arial"/>
          <w:sz w:val="22"/>
          <w:szCs w:val="22"/>
          <w:lang w:val="en-US"/>
        </w:rPr>
        <w:t xml:space="preserve">(sensu latu, </w:t>
      </w:r>
      <w:r>
        <w:rPr>
          <w:rFonts w:eastAsia="Arial" w:cs="Arial"/>
          <w:i/>
          <w:sz w:val="22"/>
          <w:szCs w:val="22"/>
          <w:lang w:val="en-US"/>
        </w:rPr>
        <w:t>Nostoc</w:t>
      </w:r>
      <w:r>
        <w:rPr>
          <w:rFonts w:eastAsia="Arial" w:cs="Arial"/>
          <w:sz w:val="22"/>
          <w:szCs w:val="22"/>
          <w:lang w:val="en-US"/>
        </w:rPr>
        <w:t xml:space="preserve"> Vaucher ex Bornet and Flahault 1886) were specimens collected from mosses (</w:t>
      </w:r>
      <w:r>
        <w:rPr>
          <w:rFonts w:eastAsia="Arial" w:cs="Arial"/>
          <w:i/>
          <w:iCs/>
          <w:sz w:val="22"/>
          <w:szCs w:val="22"/>
          <w:lang w:val="en-US"/>
        </w:rPr>
        <w:t xml:space="preserve">Nostoc muscorum </w:t>
      </w:r>
      <w:r>
        <w:rPr>
          <w:rFonts w:eastAsia="Arial" w:cs="Arial"/>
          <w:sz w:val="22"/>
          <w:szCs w:val="22"/>
          <w:lang w:val="en-US"/>
        </w:rPr>
        <w:t xml:space="preserve">Agardh ex Bornet et Flahault 1888, syn. </w:t>
      </w:r>
      <w:r>
        <w:rPr>
          <w:rFonts w:eastAsia="Arial" w:cs="Arial"/>
          <w:i/>
          <w:iCs/>
          <w:sz w:val="22"/>
          <w:szCs w:val="22"/>
          <w:lang w:val="en-US"/>
        </w:rPr>
        <w:t>Desmo</w:t>
      </w:r>
      <w:r>
        <w:rPr>
          <w:rFonts w:eastAsia="Arial" w:cs="Arial"/>
          <w:i/>
          <w:iCs/>
          <w:sz w:val="22"/>
          <w:szCs w:val="22"/>
          <w:lang w:val="en-US"/>
        </w:rPr>
        <w:t>n</w:t>
      </w:r>
      <w:r>
        <w:rPr>
          <w:rFonts w:eastAsia="Arial" w:cs="Arial"/>
          <w:i/>
          <w:iCs/>
          <w:sz w:val="22"/>
          <w:szCs w:val="22"/>
          <w:lang w:val="en-US"/>
        </w:rPr>
        <w:t xml:space="preserve">ostoc muscorum </w:t>
      </w:r>
      <w:r>
        <w:rPr>
          <w:rFonts w:eastAsia="Arial" w:cs="Arial"/>
          <w:sz w:val="22"/>
          <w:szCs w:val="22"/>
          <w:lang w:val="en-US"/>
        </w:rPr>
        <w:t>(</w:t>
      </w:r>
      <w:r>
        <w:rPr>
          <w:rFonts w:eastAsia="Arial" w:cs="Arial"/>
          <w:b w:val="false"/>
          <w:bCs w:val="false"/>
          <w:i/>
          <w:iCs/>
          <w:sz w:val="22"/>
          <w:szCs w:val="22"/>
          <w:lang w:val="en-US"/>
        </w:rPr>
        <w:t>Hrouzek et al., 2013</w:t>
      </w:r>
      <w:r>
        <w:rPr>
          <w:rFonts w:eastAsia="Arial" w:cs="Arial"/>
          <w:b w:val="false"/>
          <w:bCs w:val="false"/>
          <w:sz w:val="22"/>
          <w:szCs w:val="22"/>
          <w:lang w:val="en-US"/>
        </w:rPr>
        <w:t>)</w:t>
      </w:r>
      <w:r>
        <w:rPr>
          <w:rFonts w:eastAsia="Arial" w:cs="Arial"/>
          <w:sz w:val="22"/>
          <w:szCs w:val="22"/>
          <w:lang w:val="en-US"/>
        </w:rPr>
        <w:t xml:space="preserve">. Researchers throughout the twentieth century continued to note frequent associations of </w:t>
      </w:r>
      <w:r>
        <w:rPr>
          <w:rFonts w:eastAsia="Arial" w:cs="Arial"/>
          <w:i/>
          <w:iCs/>
          <w:sz w:val="22"/>
          <w:szCs w:val="22"/>
          <w:lang w:val="en-US"/>
        </w:rPr>
        <w:t>Nostoc</w:t>
      </w:r>
      <w:r>
        <w:rPr>
          <w:rFonts w:eastAsia="Arial" w:cs="Arial"/>
          <w:sz w:val="22"/>
          <w:szCs w:val="22"/>
          <w:lang w:val="en-US"/>
        </w:rPr>
        <w:t>-like organisms  and mosses (division Bryophyta) (Meeks, 1990). The potential importance of these associations at larger scale in temperate and arctic terrestrial ecosystems was predicted and quantified in multiple early studies (Dodds et al., 1995). While all mosses are known to host cyanobacterial communities (Groß et al., 2024; Rousk, 2022)</w:t>
      </w:r>
      <w:r>
        <w:rPr>
          <w:rFonts w:eastAsia="Arial" w:cs="Arial"/>
          <w:b w:val="false"/>
          <w:bCs w:val="false"/>
          <w:i w:val="false"/>
          <w:iCs w:val="false"/>
          <w:sz w:val="22"/>
          <w:szCs w:val="22"/>
          <w:lang w:val="en-US"/>
        </w:rPr>
        <w:t xml:space="preserve">, especially </w:t>
      </w:r>
      <w:r>
        <w:rPr>
          <w:rFonts w:eastAsia="Arial" w:cs="Arial"/>
          <w:b w:val="false"/>
          <w:bCs w:val="false"/>
          <w:i/>
          <w:iCs/>
          <w:sz w:val="22"/>
          <w:szCs w:val="22"/>
          <w:lang w:val="en-US"/>
        </w:rPr>
        <w:t xml:space="preserve">Sphagnum </w:t>
      </w:r>
      <w:r>
        <w:rPr>
          <w:rFonts w:eastAsia="Arial" w:cs="Arial"/>
          <w:b w:val="false"/>
          <w:bCs w:val="false"/>
          <w:i w:val="false"/>
          <w:iCs w:val="false"/>
          <w:sz w:val="22"/>
          <w:szCs w:val="22"/>
          <w:lang w:val="en-US"/>
        </w:rPr>
        <w:t>mosses (Rousk et al., 2015)</w:t>
      </w:r>
      <w:r>
        <w:rPr>
          <w:rFonts w:eastAsia="Arial" w:cs="Arial"/>
          <w:sz w:val="22"/>
          <w:szCs w:val="22"/>
          <w:lang w:val="en-US"/>
        </w:rPr>
        <w:t>, interest in bryophyte-</w:t>
      </w:r>
      <w:r>
        <w:rPr>
          <w:rFonts w:eastAsia="Arial" w:cs="Arial"/>
          <w:i w:val="false"/>
          <w:iCs w:val="false"/>
          <w:sz w:val="22"/>
          <w:szCs w:val="22"/>
          <w:lang w:val="en-US"/>
        </w:rPr>
        <w:t>nostocacean</w:t>
      </w:r>
      <w:r>
        <w:rPr>
          <w:rFonts w:eastAsia="Arial" w:cs="Arial"/>
          <w:sz w:val="22"/>
          <w:szCs w:val="22"/>
          <w:lang w:val="en-US"/>
        </w:rPr>
        <w:t xml:space="preserve"> associations grew rapidly following the documentation of a widespread symbiosis between a </w:t>
      </w:r>
      <w:r>
        <w:rPr>
          <w:rFonts w:eastAsia="Arial" w:cs="Arial"/>
          <w:i/>
          <w:iCs/>
          <w:sz w:val="22"/>
          <w:szCs w:val="22"/>
          <w:lang w:val="en-US"/>
        </w:rPr>
        <w:t>Nostoc-</w:t>
      </w:r>
      <w:r>
        <w:rPr>
          <w:rFonts w:eastAsia="Arial" w:cs="Arial"/>
          <w:i w:val="false"/>
          <w:iCs w:val="false"/>
          <w:sz w:val="22"/>
          <w:szCs w:val="22"/>
          <w:lang w:val="en-US"/>
        </w:rPr>
        <w:t>like organism</w:t>
      </w:r>
      <w:r>
        <w:rPr>
          <w:rFonts w:eastAsia="Arial" w:cs="Arial"/>
          <w:sz w:val="22"/>
          <w:szCs w:val="22"/>
          <w:lang w:val="en-US"/>
        </w:rPr>
        <w:t xml:space="preserve"> and a feather moss </w:t>
      </w:r>
      <w:r>
        <w:rPr>
          <w:rFonts w:eastAsia="Arial" w:cs="Arial"/>
          <w:i/>
          <w:iCs/>
          <w:sz w:val="22"/>
          <w:szCs w:val="22"/>
          <w:lang w:val="en-US"/>
        </w:rPr>
        <w:t xml:space="preserve">Pleurozium schreberi </w:t>
      </w:r>
      <w:r>
        <w:rPr>
          <w:rFonts w:eastAsia="Arial" w:cs="Arial"/>
          <w:sz w:val="22"/>
          <w:szCs w:val="22"/>
          <w:lang w:val="en-US"/>
        </w:rPr>
        <w:t xml:space="preserve">in boreal forests (DeLuca et al., 2002). The super-abundance of </w:t>
      </w:r>
      <w:r>
        <w:rPr>
          <w:rFonts w:eastAsia="Arial" w:cs="Arial"/>
          <w:i/>
          <w:iCs/>
          <w:sz w:val="22"/>
          <w:szCs w:val="22"/>
          <w:lang w:val="en-US"/>
        </w:rPr>
        <w:t xml:space="preserve">Pleurozium </w:t>
      </w:r>
      <w:r>
        <w:rPr>
          <w:rFonts w:eastAsia="Arial" w:cs="Arial"/>
          <w:sz w:val="22"/>
          <w:szCs w:val="22"/>
          <w:lang w:val="en-US"/>
        </w:rPr>
        <w:t>and other feather mosses (order Hypnales) in the large northern forest zones implied immense importance for global-scale N and C budgets.  Since these findings, research on feather moss/</w:t>
      </w:r>
      <w:r>
        <w:rPr>
          <w:rFonts w:eastAsia="Arial" w:cs="Arial"/>
          <w:i w:val="false"/>
          <w:iCs w:val="false"/>
          <w:sz w:val="22"/>
          <w:szCs w:val="22"/>
          <w:lang w:val="en-US"/>
        </w:rPr>
        <w:t>nostocacean</w:t>
      </w:r>
      <w:r>
        <w:rPr>
          <w:rFonts w:eastAsia="Arial" w:cs="Arial"/>
          <w:i/>
          <w:iCs/>
          <w:sz w:val="22"/>
          <w:szCs w:val="22"/>
          <w:lang w:val="en-US"/>
        </w:rPr>
        <w:t xml:space="preserve"> </w:t>
      </w:r>
      <w:r>
        <w:rPr>
          <w:rFonts w:eastAsia="Arial" w:cs="Arial"/>
          <w:sz w:val="22"/>
          <w:szCs w:val="22"/>
          <w:lang w:val="en-US"/>
        </w:rPr>
        <w:t>symbioses has accelerated and studies have employed increasingly sophisticated means of detection and quantification of nitrogen-fixation and nutrient transfer (Alvarenga et al., 2024; Arróniz-Crespo et al., 2022; Bay et al., 2013; Stuart et al., 2020).</w:t>
      </w:r>
    </w:p>
    <w:p>
      <w:pPr>
        <w:pStyle w:val="Normal"/>
        <w:rPr/>
      </w:pPr>
      <w:r>
        <w:rPr>
          <w:lang w:val="en-US"/>
        </w:rPr>
        <w:t xml:space="preserve">Moss-cyanobacterial mutualisms appear to strongly contribute to the primary production of boreal forests and therefore contributes to ecosystem services (timber production) and sustainability (reduced fertilizer inputs). Through associations with nitrogen-fixing microorganisms, mosses can provide large inputs of nitrogen for ecosystems. In boreal forests, up to 50% of the nitrogen input may come from cyanobacteria associated with mosses (Rousk &amp; Michelsen, 2017). In peatland cyanobacteria can contribute more than 35% of the nitrogen required by mosses like </w:t>
      </w:r>
      <w:r>
        <w:rPr>
          <w:i/>
          <w:lang w:val="en-US"/>
        </w:rPr>
        <w:t>Sphagnum</w:t>
      </w:r>
      <w:r>
        <w:rPr>
          <w:lang w:val="en-US"/>
        </w:rPr>
        <w:t xml:space="preserve">, helping maintain the productivity and stability of these carbon-rich environments (Berg et al., 2013). In harsher climates, such as tundra regions (reviewed by Lindow et al. (2013)) or tree-canopy microclimates (Lindo &amp; Whiteley, 2011), cyanobacteria associated with mosses can account for the vast majority of the nitrogen-fixation necessary for observed rates of net primary production. Variation in the community of nitrogen-fixing bacteria -- and especially cyanobacteria – appears to be explained by both geography (Groß et al., 2024) and the host specificity (Ininbergs et al., 2011). </w:t>
      </w:r>
    </w:p>
    <w:p>
      <w:pPr>
        <w:pStyle w:val="Normal"/>
        <w:spacing w:lineRule="auto" w:line="276" w:before="0" w:after="0"/>
        <w:jc w:val="start"/>
        <w:rPr>
          <w:lang w:val="en-US"/>
        </w:rPr>
      </w:pPr>
      <w:r>
        <w:rPr>
          <w:lang w:val="en-US"/>
        </w:rPr>
      </w:r>
    </w:p>
    <w:p>
      <w:pPr>
        <w:pStyle w:val="Normal"/>
        <w:rPr/>
      </w:pPr>
      <w:r>
        <w:rPr>
          <w:lang w:val="en-US"/>
        </w:rPr>
        <w:t xml:space="preserve">Following classical, broad definitions of symbiosis as any long-term, physically-proximal biotic interaction (Tipton et al. 2019), symbioses between feather mosses and </w:t>
      </w:r>
      <w:r>
        <w:rPr>
          <w:i/>
          <w:lang w:val="en-US"/>
        </w:rPr>
        <w:t>Nostoc</w:t>
      </w:r>
      <w:r>
        <w:rPr>
          <w:lang w:val="en-US"/>
        </w:rPr>
        <w:t xml:space="preserve">-like organisms are generally considered to be “loose”, mutually-facultative or commensal exosymbioses. </w:t>
      </w:r>
      <w:r>
        <w:rPr>
          <w:i/>
          <w:lang w:val="en-US"/>
        </w:rPr>
        <w:t>Nostoc</w:t>
      </w:r>
      <w:r>
        <w:rPr>
          <w:lang w:val="en-US"/>
        </w:rPr>
        <w:t xml:space="preserve">-like organisms appear to prefer to epiphytically inhabit the spaces in protected leaflet-axils along moss caulids (“stems”), or in incurved regions of leaflet-tissue and other protected areas (DeLuca et al., 2002; Solheim et al., 2004), suggesting at least a structural benefit for </w:t>
      </w:r>
      <w:r>
        <w:rPr>
          <w:i/>
          <w:lang w:val="en-US"/>
        </w:rPr>
        <w:t>Nostoc</w:t>
      </w:r>
      <w:r>
        <w:rPr>
          <w:lang w:val="en-US"/>
        </w:rPr>
        <w:t xml:space="preserve">-like organisms when associating with moss hosts. Indeed, the main advantage for the cyanobacterium may be a buffered environment on the moss, as the hygroscopic nature of mosses may create sheltered microenvironments even during times of high radiative exposure (Maeng et al., 2025) or drought (Li et al., 2024) for their resident microbiome.  </w:t>
      </w:r>
    </w:p>
    <w:p>
      <w:pPr>
        <w:pStyle w:val="Normal"/>
        <w:spacing w:before="240" w:after="240"/>
        <w:rPr/>
      </w:pPr>
      <w:r>
        <w:rPr>
          <w:rFonts w:eastAsia="Arial" w:cs="Arial"/>
          <w:sz w:val="22"/>
          <w:szCs w:val="22"/>
          <w:lang w:val="en-US"/>
        </w:rPr>
        <w:t>Benefits from the moss-</w:t>
      </w:r>
      <w:r>
        <w:rPr>
          <w:rFonts w:eastAsia="Arial" w:cs="Arial"/>
          <w:i w:val="false"/>
          <w:iCs w:val="false"/>
          <w:sz w:val="22"/>
          <w:szCs w:val="22"/>
          <w:lang w:val="en-US"/>
        </w:rPr>
        <w:t>nostocacean</w:t>
      </w:r>
      <w:r>
        <w:rPr>
          <w:rFonts w:eastAsia="Arial" w:cs="Arial"/>
          <w:i/>
          <w:iCs/>
          <w:sz w:val="22"/>
          <w:szCs w:val="22"/>
          <w:lang w:val="en-US"/>
        </w:rPr>
        <w:t xml:space="preserve"> </w:t>
      </w:r>
      <w:r>
        <w:rPr>
          <w:rFonts w:eastAsia="Arial" w:cs="Arial"/>
          <w:i w:val="false"/>
          <w:iCs w:val="false"/>
          <w:sz w:val="22"/>
          <w:szCs w:val="22"/>
          <w:lang w:val="en-US"/>
        </w:rPr>
        <w:t xml:space="preserve">symbioses </w:t>
      </w:r>
      <w:r>
        <w:rPr>
          <w:rFonts w:eastAsia="Arial" w:cs="Arial"/>
          <w:sz w:val="22"/>
          <w:szCs w:val="22"/>
          <w:lang w:val="en-US"/>
        </w:rPr>
        <w:t xml:space="preserve">for the moss host are presumed, as chemo-attraction and induction of mobile hormogonia phase by feather mosses in </w:t>
      </w:r>
      <w:r>
        <w:rPr>
          <w:rFonts w:eastAsia="Arial" w:cs="Arial"/>
          <w:i/>
          <w:sz w:val="22"/>
          <w:szCs w:val="22"/>
          <w:lang w:val="en-US"/>
        </w:rPr>
        <w:t>Nostoc</w:t>
      </w:r>
      <w:r>
        <w:rPr>
          <w:rFonts w:eastAsia="Arial" w:cs="Arial"/>
          <w:sz w:val="22"/>
          <w:szCs w:val="22"/>
          <w:lang w:val="en-US"/>
        </w:rPr>
        <w:t>-</w:t>
      </w:r>
      <w:r>
        <w:rPr>
          <w:rFonts w:eastAsia="Arial" w:cs="Arial"/>
          <w:sz w:val="22"/>
          <w:szCs w:val="22"/>
          <w:lang w:val="en-US"/>
        </w:rPr>
        <w:t xml:space="preserve">like </w:t>
      </w:r>
      <w:r>
        <w:rPr>
          <w:rFonts w:eastAsia="Arial" w:cs="Arial"/>
          <w:sz w:val="22"/>
          <w:szCs w:val="22"/>
          <w:lang w:val="en-US"/>
        </w:rPr>
        <w:t>symbionts have been clearly documented (Bay et al., 2013), at an energetic cost to the host moss (Sprent &amp; Meeks, 2013)</w:t>
      </w:r>
      <w:r>
        <w:rPr>
          <w:rFonts w:eastAsia="Arial" w:cs="Arial"/>
          <w:b w:val="false"/>
          <w:bCs w:val="false"/>
          <w:sz w:val="22"/>
          <w:szCs w:val="22"/>
          <w:lang w:val="en-US"/>
        </w:rPr>
        <w:t xml:space="preserve">. </w:t>
      </w:r>
      <w:r>
        <w:rPr>
          <w:rFonts w:eastAsia="Arial" w:cs="Arial"/>
          <w:sz w:val="22"/>
          <w:szCs w:val="22"/>
          <w:lang w:val="en-US"/>
        </w:rPr>
        <w:t xml:space="preserve">Nutrient exchanges are hypothesized, in the form of fixed, organic nitrogen from heterocystous </w:t>
      </w:r>
      <w:r>
        <w:rPr>
          <w:rFonts w:eastAsia="Arial" w:cs="Arial"/>
          <w:i/>
          <w:sz w:val="22"/>
          <w:szCs w:val="22"/>
          <w:lang w:val="en-US"/>
        </w:rPr>
        <w:t>Nostoc</w:t>
      </w:r>
      <w:r>
        <w:rPr>
          <w:rFonts w:eastAsia="Arial" w:cs="Arial"/>
          <w:sz w:val="22"/>
          <w:szCs w:val="22"/>
          <w:lang w:val="en-US"/>
        </w:rPr>
        <w:t>-</w:t>
      </w:r>
      <w:r>
        <w:rPr>
          <w:rFonts w:eastAsia="Arial" w:cs="Arial"/>
          <w:sz w:val="22"/>
          <w:szCs w:val="22"/>
          <w:lang w:val="en-US"/>
        </w:rPr>
        <w:t xml:space="preserve">like </w:t>
      </w:r>
      <w:r>
        <w:rPr>
          <w:rFonts w:eastAsia="Arial" w:cs="Arial"/>
          <w:sz w:val="22"/>
          <w:szCs w:val="22"/>
          <w:lang w:val="en-US"/>
        </w:rPr>
        <w:t>colonies to the host plant (Arróniz-Crespo et al., 2022; Bay et al., 2013), perhaps in exchange for organic carbon- and sulfur-containing materials from the moss host, though the latter has only recently been directly reported (Stuart et al., 2020). Symbioses vary seasonally and daily (Warshan et al., 2016) in their levels of nitrogen-fixing activity and microbial abundance, due to climatic constraints on microbial metabolism (Gentili et al., 2005) and N-availability at both host (Renaudin et al., 2022) and ecosystem scales (Cusack et al., 2009; Zheng et al., 2019).</w:t>
      </w:r>
    </w:p>
    <w:p>
      <w:pPr>
        <w:pStyle w:val="Normal"/>
        <w:spacing w:before="0" w:after="240"/>
        <w:rPr/>
      </w:pPr>
      <w:r>
        <w:rPr/>
      </w:r>
    </w:p>
    <w:p>
      <w:pPr>
        <w:pStyle w:val="Normal"/>
        <w:spacing w:before="0" w:after="240"/>
        <w:rPr/>
      </w:pPr>
      <w:r>
        <w:rPr/>
        <w:drawing>
          <wp:inline distT="0" distB="0" distL="0" distR="0">
            <wp:extent cx="4619625" cy="5943600"/>
            <wp:effectExtent l="0" t="0" r="0" b="0"/>
            <wp:docPr id="1" name="drawi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title=""/>
                    <pic:cNvPicPr>
                      <a:picLocks noChangeAspect="1" noChangeArrowheads="1"/>
                    </pic:cNvPicPr>
                  </pic:nvPicPr>
                  <pic:blipFill>
                    <a:blip r:embed="rId2"/>
                    <a:stretch>
                      <a:fillRect/>
                    </a:stretch>
                  </pic:blipFill>
                  <pic:spPr bwMode="auto">
                    <a:xfrm>
                      <a:off x="0" y="0"/>
                      <a:ext cx="4619625" cy="5943600"/>
                    </a:xfrm>
                    <a:prstGeom prst="rect">
                      <a:avLst/>
                    </a:prstGeom>
                  </pic:spPr>
                </pic:pic>
              </a:graphicData>
            </a:graphic>
          </wp:inline>
        </w:drawing>
      </w:r>
    </w:p>
    <w:p>
      <w:pPr>
        <w:pStyle w:val="Normal"/>
        <w:rPr/>
      </w:pPr>
      <w:r>
        <w:rPr>
          <w:b/>
          <w:bCs/>
          <w:sz w:val="16"/>
          <w:szCs w:val="16"/>
          <w:lang w:val="en-US"/>
        </w:rPr>
        <w:t>Figure 1</w:t>
      </w:r>
      <w:r>
        <w:rPr>
          <w:sz w:val="16"/>
          <w:szCs w:val="16"/>
          <w:lang w:val="en-US"/>
        </w:rPr>
        <w:t xml:space="preserve">: </w:t>
      </w:r>
      <w:r>
        <w:rPr>
          <w:i/>
          <w:sz w:val="16"/>
          <w:szCs w:val="16"/>
          <w:lang w:val="en-US"/>
        </w:rPr>
        <w:t>Hylocomium splendens</w:t>
      </w:r>
      <w:r>
        <w:rPr>
          <w:sz w:val="16"/>
          <w:szCs w:val="16"/>
          <w:lang w:val="en-US"/>
        </w:rPr>
        <w:t xml:space="preserve"> </w:t>
      </w:r>
      <w:r>
        <w:rPr>
          <w:sz w:val="16"/>
          <w:szCs w:val="16"/>
          <w:lang w:val="en-US"/>
        </w:rPr>
        <w:t xml:space="preserve">moss </w:t>
      </w:r>
      <w:r>
        <w:rPr>
          <w:sz w:val="16"/>
          <w:szCs w:val="16"/>
          <w:lang w:val="en-US"/>
        </w:rPr>
        <w:t xml:space="preserve">with colonies of </w:t>
      </w:r>
      <w:r>
        <w:rPr>
          <w:i/>
          <w:sz w:val="16"/>
          <w:szCs w:val="16"/>
          <w:lang w:val="en-US"/>
        </w:rPr>
        <w:t>Nostoc</w:t>
      </w:r>
      <w:r>
        <w:rPr>
          <w:sz w:val="16"/>
          <w:szCs w:val="16"/>
          <w:lang w:val="en-US"/>
        </w:rPr>
        <w:t>-</w:t>
      </w:r>
      <w:r>
        <w:rPr>
          <w:sz w:val="16"/>
          <w:szCs w:val="16"/>
          <w:lang w:val="en-US"/>
        </w:rPr>
        <w:t xml:space="preserve">like </w:t>
      </w:r>
      <w:r>
        <w:rPr>
          <w:sz w:val="16"/>
          <w:szCs w:val="16"/>
          <w:lang w:val="en-US"/>
        </w:rPr>
        <w:t xml:space="preserve">cyanobacteria </w:t>
      </w:r>
      <w:r>
        <w:rPr>
          <w:sz w:val="16"/>
          <w:szCs w:val="16"/>
          <w:lang w:val="en-US"/>
        </w:rPr>
        <w:t xml:space="preserve">on leaflets (right, lower) </w:t>
      </w:r>
      <w:r>
        <w:rPr>
          <w:sz w:val="16"/>
          <w:szCs w:val="16"/>
          <w:lang w:val="en-US"/>
        </w:rPr>
        <w:t xml:space="preserve">(© J. Motzkus 2024). </w:t>
      </w:r>
      <w:r>
        <w:rPr>
          <w:sz w:val="16"/>
          <w:szCs w:val="16"/>
          <w:lang w:val="en-US"/>
        </w:rPr>
        <w:t xml:space="preserve">Plants were </w:t>
      </w:r>
      <w:r>
        <w:rPr>
          <w:sz w:val="16"/>
          <w:szCs w:val="16"/>
          <w:lang w:val="en-US"/>
        </w:rPr>
        <w:t>sectioned into three zones,</w:t>
      </w:r>
      <w:r>
        <w:rPr>
          <w:sz w:val="16"/>
          <w:szCs w:val="16"/>
          <w:lang w:val="en-US"/>
        </w:rPr>
        <w:t xml:space="preserve"> from the top (</w:t>
      </w:r>
      <w:r>
        <w:rPr>
          <w:sz w:val="16"/>
          <w:szCs w:val="16"/>
          <w:lang w:val="en-US"/>
        </w:rPr>
        <w:t>labeled “oben”/“o”</w:t>
      </w:r>
      <w:r>
        <w:rPr>
          <w:sz w:val="16"/>
          <w:szCs w:val="16"/>
          <w:lang w:val="en-US"/>
        </w:rPr>
        <w:t>), middle (m) and bottom (“</w:t>
      </w:r>
      <w:r>
        <w:rPr>
          <w:sz w:val="16"/>
          <w:szCs w:val="16"/>
          <w:lang w:val="en-US"/>
        </w:rPr>
        <w:t>unten”/”u”</w:t>
      </w:r>
      <w:r>
        <w:rPr>
          <w:sz w:val="16"/>
          <w:szCs w:val="16"/>
          <w:lang w:val="en-US"/>
        </w:rPr>
        <w:t xml:space="preserve">) of caulids (Fig. 1), for comparison of relative abundances of </w:t>
      </w:r>
      <w:r>
        <w:rPr>
          <w:i/>
          <w:iCs/>
          <w:sz w:val="16"/>
          <w:szCs w:val="16"/>
          <w:lang w:val="en-US"/>
        </w:rPr>
        <w:t>nifH</w:t>
      </w:r>
      <w:r>
        <w:rPr>
          <w:sz w:val="16"/>
          <w:szCs w:val="16"/>
          <w:lang w:val="en-US"/>
        </w:rPr>
        <w:t xml:space="preserve"> abundances among different positions.</w:t>
      </w:r>
    </w:p>
    <w:p>
      <w:pPr>
        <w:pStyle w:val="Normal"/>
        <w:rPr>
          <w:lang w:val="en-US"/>
        </w:rPr>
      </w:pPr>
      <w:r>
        <w:rPr>
          <w:lang w:val="en-US"/>
        </w:rPr>
        <w:t xml:space="preserve"> </w:t>
      </w:r>
    </w:p>
    <w:p>
      <w:pPr>
        <w:pStyle w:val="Normal"/>
        <w:rPr/>
      </w:pPr>
      <w:r>
        <w:rPr>
          <w:lang w:val="en-US"/>
        </w:rPr>
        <w:t xml:space="preserve">Traditionally, </w:t>
      </w:r>
      <w:r>
        <w:rPr>
          <w:i/>
          <w:lang w:val="en-US"/>
        </w:rPr>
        <w:t>Nostoc</w:t>
      </w:r>
      <w:r>
        <w:rPr>
          <w:lang w:val="en-US"/>
        </w:rPr>
        <w:t xml:space="preserve">-moss symbioses have been studied most intensively in Scandinavian and North American regions (Alvarenga &amp; Rousk, 2022), but they have been observed in many extraordinary sites throughout the world, including retreating glacial fields of Tierra del Fuego (Chile) (Arróniz-Crespo et al., 2014), Andean tropical montane cloud forest (Peru) (Permin et al., 2022) and Mount Fuji (Japan) (Kubota et al., 2023). Arboreal mosses are increasingly of </w:t>
      </w:r>
      <w:bookmarkStart w:id="1" w:name="_Int_EjU58AT3"/>
      <w:r>
        <w:rPr>
          <w:lang w:val="en-US"/>
        </w:rPr>
        <w:t>interest, and</w:t>
      </w:r>
      <w:bookmarkEnd w:id="1"/>
      <w:r>
        <w:rPr>
          <w:lang w:val="en-US"/>
        </w:rPr>
        <w:t xml:space="preserve"> have been observed to be hotspots for moss-cyanobacterial symbioses (Lindo &amp; Whiteley, 2011). Despite its proximity to Scandinavia and despite many shared moss species and sites of similar environmental conditions, direct observations of the symbiosis of feather mosses and </w:t>
      </w:r>
      <w:r>
        <w:rPr>
          <w:i/>
          <w:lang w:val="en-US"/>
        </w:rPr>
        <w:t>Nostoc</w:t>
      </w:r>
      <w:r>
        <w:rPr>
          <w:lang w:val="en-US"/>
        </w:rPr>
        <w:t xml:space="preserve">-like organisms are rare from the Central European region. To our knowledge the </w:t>
      </w:r>
      <w:r>
        <w:rPr>
          <w:lang w:val="en-US"/>
        </w:rPr>
        <w:t xml:space="preserve">nostacacean </w:t>
      </w:r>
      <w:r>
        <w:rPr>
          <w:lang w:val="en-US"/>
        </w:rPr>
        <w:t xml:space="preserve">symbiosis has been observed in German mosses only once, as one member out of many nitrogen-fixing bacteria associated with log-dwelling moss species, using </w:t>
      </w:r>
      <w:r>
        <w:rPr>
          <w:i/>
          <w:lang w:val="en-US"/>
        </w:rPr>
        <w:t>nifH</w:t>
      </w:r>
      <w:r>
        <w:rPr>
          <w:lang w:val="en-US"/>
        </w:rPr>
        <w:t xml:space="preserve"> metabarcoding (Groß et al., 2024). Traditional “model” species of feather moss involved in </w:t>
      </w:r>
      <w:r>
        <w:rPr>
          <w:lang w:val="en-US"/>
        </w:rPr>
        <w:t>nostocacean</w:t>
      </w:r>
      <w:r>
        <w:rPr>
          <w:lang w:val="en-US"/>
        </w:rPr>
        <w:t xml:space="preserve"> symbioses like </w:t>
      </w:r>
      <w:r>
        <w:rPr>
          <w:i/>
          <w:lang w:val="en-US"/>
        </w:rPr>
        <w:t>Hylocomium</w:t>
      </w:r>
      <w:r>
        <w:rPr>
          <w:lang w:val="en-US"/>
        </w:rPr>
        <w:t xml:space="preserve"> (Fig. 1) or </w:t>
      </w:r>
      <w:r>
        <w:rPr>
          <w:i/>
          <w:lang w:val="en-US"/>
        </w:rPr>
        <w:t>Pleurozium</w:t>
      </w:r>
      <w:r>
        <w:rPr>
          <w:lang w:val="en-US"/>
        </w:rPr>
        <w:t xml:space="preserve"> have to date received very little attention in central Europe, despite the prevalence of these moss species in montane forests of central Europe. Particularly likely to host moss-</w:t>
      </w:r>
      <w:r>
        <w:rPr>
          <w:lang w:val="en-US"/>
        </w:rPr>
        <w:t xml:space="preserve">nostocacean </w:t>
      </w:r>
      <w:r>
        <w:rPr>
          <w:lang w:val="en-US"/>
        </w:rPr>
        <w:t xml:space="preserve">symbioses are spruce- or pine-dominated forests, as </w:t>
      </w:r>
      <w:r>
        <w:rPr>
          <w:i/>
          <w:lang w:val="en-US"/>
        </w:rPr>
        <w:t>Pleurozium schreberi</w:t>
      </w:r>
      <w:r>
        <w:rPr>
          <w:lang w:val="en-US"/>
        </w:rPr>
        <w:t xml:space="preserve"> or </w:t>
      </w:r>
      <w:r>
        <w:rPr>
          <w:i/>
          <w:lang w:val="en-US"/>
        </w:rPr>
        <w:t>Hylocomium splendens</w:t>
      </w:r>
      <w:r>
        <w:rPr>
          <w:lang w:val="en-US"/>
        </w:rPr>
        <w:t xml:space="preserve"> are among the dominant floor  mosses in these forests (Ellenberg, 1988).</w:t>
      </w:r>
    </w:p>
    <w:p>
      <w:pPr>
        <w:pStyle w:val="Normal"/>
        <w:rPr>
          <w:lang w:val="en-US"/>
        </w:rPr>
      </w:pPr>
      <w:r>
        <w:rPr>
          <w:lang w:val="en-US"/>
        </w:rPr>
      </w:r>
    </w:p>
    <w:p>
      <w:pPr>
        <w:pStyle w:val="Normal"/>
        <w:rPr/>
      </w:pPr>
      <w:r>
        <w:rPr/>
        <w:t xml:space="preserve">Molecular tests for the presence of cyanobacteria in mosses typically yield positive results and often indicate high metabolic activity, </w:t>
      </w:r>
      <w:r>
        <w:rPr/>
        <w:t>including</w:t>
      </w:r>
      <w:r>
        <w:rPr/>
        <w:t xml:space="preserve"> in non-</w:t>
      </w:r>
      <w:r>
        <w:rPr>
          <w:i/>
          <w:iCs/>
        </w:rPr>
        <w:t>Sphagnum</w:t>
      </w:r>
      <w:r>
        <w:rPr/>
        <w:t xml:space="preserve"> mosses</w:t>
      </w:r>
      <w:r>
        <w:rPr/>
        <w:t xml:space="preserve"> (Lindo and Whiteley, 2011; Warshan et al., 2016; Groß </w:t>
      </w:r>
      <w:r>
        <w:rPr/>
        <w:t>et al. 2023</w:t>
      </w:r>
      <w:r>
        <w:rPr/>
        <w:t xml:space="preserve">). Direct microscopic observation and cultivation of the symbionts are relatively </w:t>
      </w:r>
      <w:r>
        <w:rPr/>
        <w:t>rare</w:t>
      </w:r>
      <w:r>
        <w:rPr/>
        <w:t xml:space="preserve"> compared to the abundance predicted by molecular data, however. Microscopic observation and cultivation of plant-symbiotic organisms can be difficult or uncertain, requiring many hours of effort and time, possibly discouraging researchers. Compounding the difficulties, </w:t>
      </w:r>
      <w:r>
        <w:rPr>
          <w:i/>
          <w:iCs/>
        </w:rPr>
        <w:t>Nostoc</w:t>
      </w:r>
      <w:r>
        <w:rPr/>
        <w:t>-</w:t>
      </w:r>
      <w:r>
        <w:rPr/>
        <w:t>like organisms</w:t>
      </w:r>
      <w:r>
        <w:rPr/>
        <w:t xml:space="preserve"> and other cyanobacteria may also exist on mosses in few-to-single cell states such as hormogonia (Büdel et al. 2024) which are probably mostly missed by visual inspection, and which are difficult to render into axenic culture. We hypothesize that another factor may also contribute to the imbalance between visual observations of cyanobacterial symbionts in moss and reports of relatively high abundance and activity: some cyanobacteria may be capable of living endophytically in mosses. This is supported by numerous studies that report the presence of putative endophytic bacteria in non-Sphagnum mosses (e.g. – Tveit et al. (2020)). As moss leaflet lamina are only one cell thick in cross-section, we hypothesize that if such endophytic colonization occurs it is within the caulid</w:t>
      </w:r>
      <w:r>
        <w:rPr/>
        <w:t>s</w:t>
      </w:r>
      <w:r>
        <w:rPr/>
        <w:t xml:space="preserve">, which are multicellular in cross-section. </w:t>
      </w:r>
    </w:p>
    <w:p>
      <w:pPr>
        <w:pStyle w:val="Normal"/>
        <w:spacing w:lineRule="auto" w:line="276" w:before="0" w:after="0"/>
        <w:jc w:val="start"/>
        <w:rPr>
          <w:rFonts w:ascii="Arial" w:hAnsi="Arial" w:eastAsia="Arial" w:cs="Arial"/>
          <w:sz w:val="22"/>
          <w:szCs w:val="22"/>
          <w:lang w:val="en-US"/>
        </w:rPr>
      </w:pPr>
      <w:r>
        <w:rPr>
          <w:rFonts w:eastAsia="Arial" w:cs="Arial"/>
          <w:sz w:val="22"/>
          <w:szCs w:val="22"/>
          <w:lang w:val="en-US"/>
        </w:rPr>
        <w:t xml:space="preserve">  </w:t>
      </w:r>
    </w:p>
    <w:p>
      <w:pPr>
        <w:pStyle w:val="Normal"/>
        <w:spacing w:before="0" w:after="240"/>
        <w:rPr/>
      </w:pPr>
      <w:r>
        <w:rPr>
          <w:rFonts w:eastAsia="Arial" w:cs="Arial"/>
          <w:sz w:val="22"/>
          <w:szCs w:val="22"/>
          <w:lang w:val="en-US"/>
        </w:rPr>
        <w:t>Here we sought to confirm the presence of the moss-</w:t>
      </w:r>
      <w:r>
        <w:rPr>
          <w:rFonts w:eastAsia="Arial" w:cs="Arial"/>
          <w:sz w:val="22"/>
          <w:szCs w:val="22"/>
          <w:lang w:val="en-US"/>
        </w:rPr>
        <w:t>n</w:t>
      </w:r>
      <w:r>
        <w:rPr>
          <w:rFonts w:eastAsia="Arial" w:cs="Arial"/>
          <w:i w:val="false"/>
          <w:iCs w:val="false"/>
          <w:sz w:val="22"/>
          <w:szCs w:val="22"/>
          <w:lang w:val="en-US"/>
        </w:rPr>
        <w:t>ostoc</w:t>
      </w:r>
      <w:r>
        <w:rPr>
          <w:rFonts w:eastAsia="Arial" w:cs="Arial"/>
          <w:i w:val="false"/>
          <w:iCs w:val="false"/>
          <w:sz w:val="22"/>
          <w:szCs w:val="22"/>
          <w:lang w:val="en-US"/>
        </w:rPr>
        <w:t>acean</w:t>
      </w:r>
      <w:r>
        <w:rPr>
          <w:rFonts w:eastAsia="Arial" w:cs="Arial"/>
          <w:i/>
          <w:iCs/>
          <w:sz w:val="22"/>
          <w:szCs w:val="22"/>
          <w:lang w:val="en-US"/>
        </w:rPr>
        <w:t xml:space="preserve"> </w:t>
      </w:r>
      <w:r>
        <w:rPr>
          <w:rFonts w:eastAsia="Arial" w:cs="Arial"/>
          <w:i w:val="false"/>
          <w:iCs w:val="false"/>
          <w:sz w:val="22"/>
          <w:szCs w:val="22"/>
          <w:lang w:val="en-US"/>
        </w:rPr>
        <w:t>symbioses in the region of Franconia, Germany, and to further explore the known host range for the symbiosis. W</w:t>
      </w:r>
      <w:r>
        <w:rPr>
          <w:rFonts w:eastAsia="Arial" w:cs="Arial"/>
          <w:sz w:val="22"/>
          <w:szCs w:val="22"/>
          <w:lang w:val="en-US"/>
        </w:rPr>
        <w:t>e examined mosses from the Fichtel mountains, the Frankenjura, and adjacent areas, concurrent with on-going moss diversity inventories and monitoring efforts in the region. Special attention was given to arboreal epiphytic mosses, especially in the family Orthotrichaceae.</w:t>
      </w:r>
      <w:r>
        <w:rPr>
          <w:rFonts w:eastAsia="Arial" w:cs="Arial"/>
          <w:i w:val="false"/>
          <w:iCs w:val="false"/>
          <w:sz w:val="22"/>
          <w:szCs w:val="22"/>
          <w:lang w:val="en-US"/>
        </w:rPr>
        <w:t xml:space="preserve"> despite never having been documented as hosts for the symbiosis. Members of</w:t>
      </w:r>
      <w:r>
        <w:rPr>
          <w:i w:val="false"/>
          <w:iCs w:val="false"/>
          <w:lang w:val="en-US"/>
        </w:rPr>
        <w:t xml:space="preserve"> Orthotrichac</w:t>
      </w:r>
      <w:r>
        <w:rPr>
          <w:i w:val="false"/>
          <w:iCs w:val="false"/>
          <w:lang w:val="en-US"/>
        </w:rPr>
        <w:t>e</w:t>
      </w:r>
      <w:r>
        <w:rPr>
          <w:i w:val="false"/>
          <w:iCs w:val="false"/>
          <w:lang w:val="en-US"/>
        </w:rPr>
        <w:t>ae are best known as epiphytic mosses from tree bark (Fialová et al., 2023), in our region especially on broad-leaved trees with many species.</w:t>
      </w:r>
      <w:r>
        <w:rPr>
          <w:rFonts w:eastAsia="Arial" w:cs="Arial"/>
          <w:i w:val="false"/>
          <w:iCs w:val="false"/>
          <w:sz w:val="22"/>
          <w:szCs w:val="22"/>
          <w:lang w:val="en-US"/>
        </w:rPr>
        <w:t xml:space="preserve"> We hypothesized them as</w:t>
      </w:r>
      <w:r>
        <w:rPr>
          <w:rFonts w:eastAsia="Arial" w:cs="Arial"/>
          <w:sz w:val="22"/>
          <w:szCs w:val="22"/>
          <w:lang w:val="en-US"/>
        </w:rPr>
        <w:t xml:space="preserve"> likely candidates to host the symbiosis, given the presumed low</w:t>
      </w:r>
      <w:r>
        <w:rPr>
          <w:rFonts w:eastAsia="Arial" w:cs="Arial"/>
          <w:i w:val="false"/>
          <w:iCs w:val="false"/>
          <w:sz w:val="22"/>
          <w:szCs w:val="22"/>
          <w:lang w:val="en-US"/>
        </w:rPr>
        <w:t xml:space="preserve"> nitrogen availability and dynamic microclimate of the canopy setting. </w:t>
      </w:r>
      <w:r>
        <w:rPr>
          <w:rFonts w:eastAsia="Arial" w:cs="Arial"/>
          <w:i w:val="false"/>
          <w:iCs w:val="false"/>
          <w:sz w:val="22"/>
          <w:szCs w:val="22"/>
          <w:lang w:val="en-US"/>
        </w:rPr>
        <w:t xml:space="preserve">We hypothesized that cyanobacteria are active in moss tissues even when colonies of cyanobacteria are not visible on the moss, possibly due to endophytic colonization by cyanobacteria. We tested this by PCR-amplification of cyanobacterial-specific </w:t>
      </w:r>
      <w:r>
        <w:rPr>
          <w:rFonts w:eastAsia="Arial" w:cs="Arial"/>
          <w:i/>
          <w:iCs/>
          <w:sz w:val="22"/>
          <w:szCs w:val="22"/>
          <w:lang w:val="en-US"/>
        </w:rPr>
        <w:t xml:space="preserve">nifH </w:t>
      </w:r>
      <w:r>
        <w:rPr>
          <w:rFonts w:eastAsia="Arial" w:cs="Arial"/>
          <w:i w:val="false"/>
          <w:iCs w:val="false"/>
          <w:sz w:val="22"/>
          <w:szCs w:val="22"/>
          <w:lang w:val="en-US"/>
        </w:rPr>
        <w:t xml:space="preserve">genes on moss tissues with no visual colonization by cyanobacteria, and via surveys with fluorescence microscopy for cyanobacterial phycobilisomes on mosses that had been subjected to a rigorous reduction of epiphytic flora. In the case of mosses which did show obvious colonization by </w:t>
      </w:r>
      <w:r>
        <w:rPr>
          <w:rFonts w:eastAsia="Arial" w:cs="Arial"/>
          <w:i/>
          <w:iCs/>
          <w:sz w:val="22"/>
          <w:szCs w:val="22"/>
          <w:lang w:val="en-US"/>
        </w:rPr>
        <w:t>Nostoc-</w:t>
      </w:r>
      <w:r>
        <w:rPr>
          <w:rFonts w:eastAsia="Arial" w:cs="Arial"/>
          <w:i w:val="false"/>
          <w:iCs w:val="false"/>
          <w:sz w:val="22"/>
          <w:szCs w:val="22"/>
          <w:lang w:val="en-US"/>
        </w:rPr>
        <w:t xml:space="preserve">like </w:t>
      </w:r>
      <w:r>
        <w:rPr>
          <w:rFonts w:eastAsia="Arial" w:cs="Arial"/>
          <w:i w:val="false"/>
          <w:iCs w:val="false"/>
          <w:sz w:val="22"/>
          <w:szCs w:val="22"/>
          <w:lang w:val="en-US"/>
        </w:rPr>
        <w:t>organisms,</w:t>
      </w:r>
      <w:r>
        <w:rPr>
          <w:rFonts w:eastAsia="Arial" w:cs="Arial"/>
          <w:i w:val="false"/>
          <w:iCs w:val="false"/>
          <w:sz w:val="22"/>
          <w:szCs w:val="22"/>
          <w:lang w:val="en-US"/>
        </w:rPr>
        <w:t xml:space="preserve"> </w:t>
      </w:r>
      <w:r>
        <w:rPr>
          <w:rFonts w:eastAsia="Arial" w:cs="Arial"/>
          <w:i w:val="false"/>
          <w:iCs w:val="false"/>
          <w:sz w:val="22"/>
          <w:szCs w:val="22"/>
          <w:lang w:val="en-US"/>
        </w:rPr>
        <w:t>w</w:t>
      </w:r>
      <w:r>
        <w:rPr>
          <w:rFonts w:eastAsia="Arial" w:cs="Arial"/>
          <w:i w:val="false"/>
          <w:iCs w:val="false"/>
          <w:sz w:val="22"/>
          <w:szCs w:val="22"/>
          <w:lang w:val="en-US"/>
        </w:rPr>
        <w:t xml:space="preserve">e utilized a microscopy- and culture-based approach </w:t>
      </w:r>
      <w:r>
        <w:rPr>
          <w:rFonts w:eastAsia="Arial" w:cs="Arial"/>
          <w:i w:val="false"/>
          <w:iCs w:val="false"/>
          <w:sz w:val="22"/>
          <w:szCs w:val="22"/>
          <w:lang w:val="en-US"/>
        </w:rPr>
        <w:t>to confirm the</w:t>
      </w:r>
      <w:r>
        <w:rPr>
          <w:rFonts w:eastAsia="Arial" w:cs="Arial"/>
          <w:i w:val="false"/>
          <w:iCs w:val="false"/>
          <w:sz w:val="22"/>
          <w:szCs w:val="22"/>
          <w:lang w:val="en-US"/>
        </w:rPr>
        <w:t>ir</w:t>
      </w:r>
      <w:r>
        <w:rPr>
          <w:rFonts w:eastAsia="Arial" w:cs="Arial"/>
          <w:i w:val="false"/>
          <w:iCs w:val="false"/>
          <w:sz w:val="22"/>
          <w:szCs w:val="22"/>
          <w:lang w:val="en-US"/>
        </w:rPr>
        <w:t xml:space="preserve"> presence,</w:t>
      </w:r>
      <w:r>
        <w:rPr>
          <w:rFonts w:eastAsia="Arial" w:cs="Arial"/>
          <w:i w:val="false"/>
          <w:iCs w:val="false"/>
          <w:sz w:val="22"/>
          <w:szCs w:val="22"/>
          <w:lang w:val="en-US"/>
        </w:rPr>
        <w:t xml:space="preserve"> which we hoped would </w:t>
      </w:r>
      <w:r>
        <w:rPr>
          <w:rFonts w:eastAsia="Arial" w:cs="Arial"/>
          <w:i w:val="false"/>
          <w:iCs w:val="false"/>
          <w:sz w:val="22"/>
          <w:szCs w:val="22"/>
          <w:lang w:val="en-US"/>
        </w:rPr>
        <w:t xml:space="preserve">also </w:t>
      </w:r>
      <w:r>
        <w:rPr>
          <w:rFonts w:eastAsia="Arial" w:cs="Arial"/>
          <w:i w:val="false"/>
          <w:iCs w:val="false"/>
          <w:sz w:val="22"/>
          <w:szCs w:val="22"/>
          <w:lang w:val="en-US"/>
        </w:rPr>
        <w:t xml:space="preserve">enable precise imaging and taxonomic placement of symbionts, using full-length 16S and partial </w:t>
      </w:r>
      <w:r>
        <w:rPr>
          <w:rFonts w:eastAsia="Arial" w:cs="Arial"/>
          <w:i/>
          <w:iCs w:val="false"/>
          <w:sz w:val="22"/>
          <w:szCs w:val="22"/>
          <w:lang w:val="en-US"/>
        </w:rPr>
        <w:t>nifH</w:t>
      </w:r>
      <w:r>
        <w:rPr>
          <w:rFonts w:eastAsia="Arial" w:cs="Arial"/>
          <w:i w:val="false"/>
          <w:iCs w:val="false"/>
          <w:sz w:val="22"/>
          <w:szCs w:val="22"/>
          <w:lang w:val="en-US"/>
        </w:rPr>
        <w:t xml:space="preserve"> PCR amplicon sequence data. </w:t>
      </w:r>
    </w:p>
    <w:p>
      <w:pPr>
        <w:pStyle w:val="Heading1"/>
        <w:rPr/>
      </w:pPr>
      <w:bookmarkStart w:id="2" w:name="_gl6igogtdoid"/>
      <w:bookmarkEnd w:id="2"/>
      <w:r>
        <w:rPr>
          <w:sz w:val="30"/>
          <w:szCs w:val="30"/>
        </w:rPr>
        <w:t>M</w:t>
      </w:r>
      <w:r>
        <w:rPr>
          <w:sz w:val="30"/>
          <w:szCs w:val="30"/>
        </w:rPr>
        <w:t>aterials and m</w:t>
      </w:r>
      <w:r>
        <w:rPr>
          <w:sz w:val="30"/>
          <w:szCs w:val="30"/>
        </w:rPr>
        <w:t xml:space="preserve">ethods </w:t>
      </w:r>
    </w:p>
    <w:p>
      <w:pPr>
        <w:pStyle w:val="Heading2"/>
        <w:rPr>
          <w:i/>
          <w:i/>
          <w:iCs/>
          <w:sz w:val="24"/>
          <w:szCs w:val="24"/>
        </w:rPr>
      </w:pPr>
      <w:bookmarkStart w:id="3" w:name="_nf10kkojw0n"/>
      <w:bookmarkEnd w:id="3"/>
      <w:r>
        <w:rPr>
          <w:i/>
          <w:iCs/>
          <w:sz w:val="24"/>
          <w:szCs w:val="24"/>
        </w:rPr>
        <w:t>Field</w:t>
      </w:r>
    </w:p>
    <w:p>
      <w:pPr>
        <w:pStyle w:val="Normal"/>
        <w:rPr/>
      </w:pPr>
      <w:r>
        <w:rPr>
          <w:i w:val="false"/>
          <w:iCs w:val="false"/>
          <w:lang w:val="en-US"/>
        </w:rPr>
        <w:t xml:space="preserve">Mosses from multiple sites through the region of upper and middle Franconia (Germany) were opportunistically sampled for </w:t>
      </w:r>
      <w:r>
        <w:rPr>
          <w:i/>
          <w:iCs/>
          <w:lang w:val="en-US"/>
        </w:rPr>
        <w:t>Nostoc</w:t>
      </w:r>
      <w:r>
        <w:rPr>
          <w:i w:val="false"/>
          <w:iCs w:val="false"/>
          <w:lang w:val="en-US"/>
        </w:rPr>
        <w:t>-like organisms, as part of ongoing moss diversity inventories in the region. Mosses were taxonomically identified according to Frey et al. (2021). Moss specimens were collected when visual inspection with a 10x lupe indicated possible cyanobacterial colonies, in the form of blue discoloration. Moss</w:t>
      </w:r>
      <w:r>
        <w:rPr>
          <w:i/>
          <w:iCs/>
          <w:lang w:val="en-US"/>
        </w:rPr>
        <w:t xml:space="preserve"> </w:t>
      </w:r>
      <w:r>
        <w:rPr>
          <w:lang w:val="en-US"/>
        </w:rPr>
        <w:t>samples were collected from multiple different locations in the Fichtel Mountains, the Frankenjura, and other sites at elevations between 350 and 800 m above sea level. Sample collections were carried out as part of other ecological surveys which took place during the years 2023 - 2025, see Table 1 for details. Each moss sample consisted of at least one healthy gametophyte individual (all continuous tissue from the rhizoids to the shoot). Samples were stored in plastic bags and kept in the dark at 4 °C before further use.</w:t>
      </w:r>
    </w:p>
    <w:p>
      <w:pPr>
        <w:pStyle w:val="Normal"/>
        <w:rPr/>
      </w:pPr>
      <w:r>
        <w:rPr/>
      </w:r>
      <w:r>
        <w:br w:type="page"/>
      </w:r>
    </w:p>
    <w:p>
      <w:pPr>
        <w:pStyle w:val="Normal"/>
        <w:spacing w:before="0" w:after="0"/>
        <w:rPr>
          <w:lang w:val="en-US"/>
        </w:rPr>
      </w:pPr>
      <w:r>
        <w:rPr>
          <w:lang w:val="en-US"/>
        </w:rPr>
      </w:r>
    </w:p>
    <w:p>
      <w:pPr>
        <w:pStyle w:val="Normal"/>
        <w:rPr>
          <w:sz w:val="16"/>
          <w:szCs w:val="16"/>
          <w:lang w:val="en-US"/>
        </w:rPr>
      </w:pPr>
      <w:r>
        <w:rPr>
          <w:sz w:val="16"/>
          <w:szCs w:val="16"/>
          <w:lang w:val="en-US"/>
        </w:rPr>
        <w:t>Table 1. Sampled locations and moss species. In Orthotrichum, Nostoc-like organisms were photographed but failed to culture. Samples from University of Bayreuth were used for PCR tests for nifH but not for microscopy or culturing. All other mosses were subject to microscopic inspection for- and culturing of Nostoc-like organisms.</w:t>
      </w:r>
      <w:bookmarkStart w:id="4" w:name="_dohrxf2tpfho"/>
      <w:bookmarkEnd w:id="4"/>
    </w:p>
    <w:tbl>
      <w:tblPr>
        <w:tblW w:w="9239" w:type="dxa"/>
        <w:jc w:val="start"/>
        <w:tblInd w:w="118" w:type="dxa"/>
        <w:tblLayout w:type="fixed"/>
        <w:tblCellMar>
          <w:top w:w="100" w:type="dxa"/>
          <w:start w:w="100" w:type="dxa"/>
          <w:bottom w:w="100" w:type="dxa"/>
          <w:end w:w="100" w:type="dxa"/>
        </w:tblCellMar>
      </w:tblPr>
      <w:tblGrid>
        <w:gridCol w:w="2332"/>
        <w:gridCol w:w="1500"/>
        <w:gridCol w:w="1800"/>
        <w:gridCol w:w="1595"/>
        <w:gridCol w:w="818"/>
        <w:gridCol w:w="1194"/>
      </w:tblGrid>
      <w:tr>
        <w:trPr>
          <w:trHeight w:val="300"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b/>
                <w:bCs/>
                <w:color w:val="5C6A70"/>
              </w:rPr>
            </w:pPr>
            <w:r>
              <w:rPr>
                <w:b/>
                <w:bCs/>
                <w:color w:val="5C6A70"/>
              </w:rPr>
              <w:t>Locality name</w:t>
            </w:r>
          </w:p>
        </w:tc>
        <w:tc>
          <w:tcPr>
            <w:tcW w:w="1500" w:type="dxa"/>
            <w:tcBorders>
              <w:top w:val="single" w:sz="8" w:space="0" w:color="000000"/>
              <w:start w:val="single" w:sz="8" w:space="0" w:color="000000"/>
              <w:bottom w:val="single" w:sz="8" w:space="0" w:color="000000"/>
              <w:end w:val="single" w:sz="8" w:space="0" w:color="000000"/>
            </w:tcBorders>
          </w:tcPr>
          <w:p>
            <w:pPr>
              <w:pStyle w:val="Normal"/>
              <w:rPr/>
            </w:pPr>
            <w:bookmarkStart w:id="5" w:name="_enf9m484p7v4"/>
            <w:bookmarkEnd w:id="5"/>
            <w:r>
              <w:rPr/>
              <w:t>Latitude/longitude (°)</w:t>
            </w:r>
          </w:p>
        </w:tc>
        <w:tc>
          <w:tcPr>
            <w:tcW w:w="180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b/>
                <w:bCs/>
                <w:color w:val="5C6A70"/>
                <w:lang w:val="en-US"/>
              </w:rPr>
              <w:t>M</w:t>
            </w:r>
            <w:r>
              <w:rPr>
                <w:b/>
                <w:bCs/>
                <w:color w:val="5C6A70"/>
              </w:rPr>
              <w:t xml:space="preserve">oss </w:t>
            </w:r>
            <w:r>
              <w:rPr>
                <w:b/>
                <w:bCs/>
                <w:color w:val="5C6A70"/>
                <w:lang w:val="en-US"/>
              </w:rPr>
              <w:t>species</w:t>
            </w:r>
          </w:p>
        </w:tc>
        <w:tc>
          <w:tcPr>
            <w:tcW w:w="159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b/>
                <w:bCs/>
                <w:color w:val="5C6A70"/>
              </w:rPr>
            </w:pPr>
            <w:r>
              <w:rPr>
                <w:b/>
                <w:bCs/>
                <w:color w:val="5C6A70"/>
              </w:rPr>
              <w:t>substrate</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b/>
                <w:bCs/>
                <w:color w:val="5C6A70"/>
                <w:lang w:val="en-US"/>
              </w:rPr>
            </w:pPr>
            <w:r>
              <w:rPr>
                <w:b/>
                <w:bCs/>
                <w:color w:val="5C6A70"/>
                <w:lang w:val="en-US"/>
              </w:rPr>
              <w:t>Elev. (m)</w:t>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pPr>
            <w:r>
              <w:rPr>
                <w:b/>
                <w:bCs/>
                <w:color w:val="5C6A70"/>
                <w:lang w:val="en-US"/>
              </w:rPr>
              <w:t>S</w:t>
            </w:r>
            <w:r>
              <w:rPr>
                <w:b/>
                <w:bCs/>
                <w:color w:val="5C6A70"/>
              </w:rPr>
              <w:t>ample date</w:t>
            </w:r>
          </w:p>
        </w:tc>
      </w:tr>
      <w:tr>
        <w:trPr>
          <w:trHeight w:val="300"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Waldstein,</w:t>
            </w:r>
          </w:p>
          <w:p>
            <w:pPr>
              <w:pStyle w:val="Normal"/>
              <w:widowControl w:val="false"/>
              <w:pBdr/>
              <w:spacing w:lineRule="auto" w:line="240"/>
              <w:rPr>
                <w:color w:val="000000"/>
              </w:rPr>
            </w:pPr>
            <w:r>
              <w:rPr>
                <w:color w:val="000000"/>
                <w:lang w:val="en-US"/>
              </w:rPr>
              <w:t>Fichtelgeb</w:t>
            </w:r>
            <w:r>
              <w:rPr>
                <w:color w:val="000000"/>
              </w:rPr>
              <w:t>irge</w:t>
            </w:r>
          </w:p>
        </w:tc>
        <w:tc>
          <w:tcPr>
            <w:tcW w:w="1500"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shd w:fill="FCFDFD" w:val="clear"/>
              </w:rPr>
            </w:pPr>
            <w:r>
              <w:rPr>
                <w:color w:val="000000"/>
                <w:shd w:fill="FCFDFD" w:val="clear"/>
              </w:rPr>
              <w:t>50,14233 11,86628</w:t>
            </w:r>
          </w:p>
        </w:tc>
        <w:tc>
          <w:tcPr>
            <w:tcW w:w="18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i/>
                <w:i/>
                <w:iCs/>
                <w:color w:val="000000"/>
                <w:lang w:val="en-US"/>
              </w:rPr>
            </w:pPr>
            <w:r>
              <w:rPr>
                <w:i/>
                <w:iCs/>
                <w:color w:val="000000"/>
                <w:lang w:val="en-US"/>
              </w:rPr>
              <w:t>Hylocomium splendens</w:t>
            </w:r>
          </w:p>
        </w:tc>
        <w:tc>
          <w:tcPr>
            <w:tcW w:w="159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rPr>
            </w:pPr>
            <w:r>
              <w:rPr>
                <w:color w:val="000000"/>
              </w:rPr>
              <w:t>soil</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774</w:t>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rPr>
              <w:t>May-2023</w:t>
            </w:r>
          </w:p>
          <w:p>
            <w:pPr>
              <w:pStyle w:val="Normal"/>
              <w:spacing w:lineRule="auto" w:line="240"/>
              <w:rPr>
                <w:color w:val="000000"/>
              </w:rPr>
            </w:pPr>
            <w:r>
              <w:rPr>
                <w:color w:val="000000"/>
              </w:rPr>
              <w:t>May-2024</w:t>
            </w:r>
          </w:p>
        </w:tc>
      </w:tr>
      <w:tr>
        <w:trPr>
          <w:trHeight w:val="300"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lang w:val="en-US"/>
              </w:rPr>
              <w:t xml:space="preserve">Ecological </w:t>
            </w:r>
            <w:r>
              <w:rPr>
                <w:color w:val="000000"/>
              </w:rPr>
              <w:t>B</w:t>
            </w:r>
            <w:r>
              <w:rPr>
                <w:color w:val="000000"/>
                <w:lang w:val="en-US"/>
              </w:rPr>
              <w:t>otanical Garden, University of Bayreuth</w:t>
            </w:r>
          </w:p>
        </w:tc>
        <w:tc>
          <w:tcPr>
            <w:tcW w:w="15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shd w:fill="FCFDFD" w:val="clear"/>
              </w:rPr>
            </w:pPr>
            <w:r>
              <w:rPr>
                <w:color w:val="000000"/>
                <w:shd w:fill="FCFDFD" w:val="clear"/>
              </w:rPr>
            </w:r>
          </w:p>
          <w:p>
            <w:pPr>
              <w:pStyle w:val="Normal"/>
              <w:widowControl w:val="false"/>
              <w:spacing w:lineRule="auto" w:line="240"/>
              <w:rPr>
                <w:color w:val="000000"/>
                <w:shd w:fill="FCFDFD" w:val="clear"/>
              </w:rPr>
            </w:pPr>
            <w:r>
              <w:rPr>
                <w:color w:val="000000"/>
                <w:shd w:fill="FCFDFD" w:val="clear"/>
              </w:rPr>
              <w:t>49,92438 11,58454</w:t>
            </w:r>
          </w:p>
          <w:p>
            <w:pPr>
              <w:pStyle w:val="Normal"/>
              <w:widowControl w:val="false"/>
              <w:pBdr/>
              <w:spacing w:lineRule="auto" w:line="240"/>
              <w:rPr>
                <w:color w:val="000000"/>
                <w:shd w:fill="FCFDFD" w:val="clear"/>
              </w:rPr>
            </w:pPr>
            <w:r>
              <w:rPr>
                <w:color w:val="000000"/>
                <w:shd w:fill="FCFDFD" w:val="clear"/>
              </w:rPr>
            </w:r>
          </w:p>
        </w:tc>
        <w:tc>
          <w:tcPr>
            <w:tcW w:w="18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i/>
                <w:i/>
                <w:iCs/>
                <w:color w:val="000000"/>
                <w:lang w:val="en-US"/>
              </w:rPr>
            </w:pPr>
            <w:r>
              <w:rPr>
                <w:i/>
                <w:iCs/>
                <w:color w:val="000000"/>
                <w:lang w:val="en-US"/>
              </w:rPr>
              <w:t>H. splendens</w:t>
            </w:r>
          </w:p>
        </w:tc>
        <w:tc>
          <w:tcPr>
            <w:tcW w:w="159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rPr>
            </w:pPr>
            <w:r>
              <w:rPr>
                <w:color w:val="000000"/>
              </w:rPr>
              <w:t>soil</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354</w:t>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rPr>
              <w:t>May-2023</w:t>
            </w:r>
          </w:p>
        </w:tc>
      </w:tr>
      <w:tr>
        <w:trPr>
          <w:trHeight w:val="300"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lang w:val="en-US"/>
              </w:rPr>
            </w:pPr>
            <w:r>
              <w:rPr>
                <w:color w:val="000000"/>
                <w:lang w:val="en-US"/>
              </w:rPr>
              <w:t>Northern Fraconian Jura, near Neustädtlein</w:t>
            </w:r>
          </w:p>
        </w:tc>
        <w:tc>
          <w:tcPr>
            <w:tcW w:w="15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sz w:val="21"/>
                <w:szCs w:val="21"/>
                <w:shd w:fill="FCFDFD" w:val="clear"/>
              </w:rPr>
            </w:pPr>
            <w:r>
              <w:rPr>
                <w:color w:val="000000"/>
                <w:sz w:val="21"/>
                <w:szCs w:val="21"/>
                <w:shd w:fill="FCFDFD" w:val="clear"/>
              </w:rPr>
              <w:t>49,96020 11,43589</w:t>
            </w:r>
          </w:p>
        </w:tc>
        <w:tc>
          <w:tcPr>
            <w:tcW w:w="18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i/>
                <w:i/>
                <w:iCs/>
                <w:color w:val="000000"/>
                <w:lang w:val="en-US"/>
              </w:rPr>
            </w:pPr>
            <w:r>
              <w:rPr>
                <w:i/>
                <w:iCs/>
                <w:color w:val="000000"/>
                <w:lang w:val="en-US"/>
              </w:rPr>
              <w:t>Orthotrichum lyellii</w:t>
            </w:r>
          </w:p>
        </w:tc>
        <w:tc>
          <w:tcPr>
            <w:tcW w:w="159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rPr>
            </w:pPr>
            <w:r>
              <w:rPr>
                <w:color w:val="000000"/>
              </w:rPr>
              <w:t>Bark (</w:t>
            </w:r>
            <w:r>
              <w:rPr>
                <w:i/>
                <w:iCs/>
                <w:color w:val="000000"/>
              </w:rPr>
              <w:t>Fraxinus excelsior)</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480</w:t>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lang w:val="en-US"/>
              </w:rPr>
              <w:t>Nov-</w:t>
            </w:r>
            <w:r>
              <w:rPr>
                <w:color w:val="000000"/>
              </w:rPr>
              <w:t>2024</w:t>
            </w:r>
          </w:p>
        </w:tc>
      </w:tr>
      <w:tr>
        <w:trPr>
          <w:trHeight w:val="855"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lang w:val="en-US"/>
              </w:rPr>
            </w:pPr>
            <w:r>
              <w:rPr>
                <w:color w:val="000000"/>
                <w:lang w:val="en-US"/>
              </w:rPr>
              <w:t>Pfaffenberg near Mettendorf</w:t>
            </w:r>
          </w:p>
        </w:tc>
        <w:tc>
          <w:tcPr>
            <w:tcW w:w="15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240"/>
              <w:rPr>
                <w:rFonts w:ascii="Arial" w:hAnsi="Arial" w:eastAsia="Arial" w:cs="Arial"/>
                <w:color w:val="000000"/>
                <w:sz w:val="22"/>
                <w:szCs w:val="22"/>
                <w:lang w:val="en-US"/>
              </w:rPr>
            </w:pPr>
            <w:r>
              <w:rPr>
                <w:rFonts w:eastAsia="Arial" w:cs="Arial"/>
                <w:color w:val="000000"/>
                <w:sz w:val="22"/>
                <w:szCs w:val="22"/>
                <w:lang w:val="en-US"/>
              </w:rPr>
              <w:t>49,02075 11,35922</w:t>
            </w:r>
          </w:p>
        </w:tc>
        <w:tc>
          <w:tcPr>
            <w:tcW w:w="18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i/>
                <w:i/>
                <w:iCs/>
                <w:color w:val="000000"/>
                <w:lang w:val="en-US"/>
              </w:rPr>
            </w:pPr>
            <w:r>
              <w:rPr>
                <w:i/>
                <w:iCs/>
                <w:color w:val="000000"/>
                <w:lang w:val="en-US"/>
              </w:rPr>
              <w:t>Zygodon dentatus</w:t>
            </w:r>
          </w:p>
        </w:tc>
        <w:tc>
          <w:tcPr>
            <w:tcW w:w="159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rPr>
            </w:pPr>
            <w:r>
              <w:rPr>
                <w:color w:val="000000"/>
                <w:lang w:val="en-US"/>
              </w:rPr>
              <w:t>Bark (</w:t>
            </w:r>
            <w:r>
              <w:rPr>
                <w:i/>
                <w:iCs/>
                <w:color w:val="000000"/>
                <w:lang w:val="en-US"/>
              </w:rPr>
              <w:t xml:space="preserve">Sorbus </w:t>
            </w:r>
            <w:r>
              <w:rPr>
                <w:i w:val="false"/>
                <w:iCs w:val="false"/>
                <w:color w:val="000000"/>
                <w:lang w:val="en-US"/>
              </w:rPr>
              <w:t>sp.)</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470</w:t>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rPr>
              <w:t>Nov-2024</w:t>
            </w:r>
          </w:p>
        </w:tc>
      </w:tr>
      <w:tr>
        <w:trPr>
          <w:trHeight w:val="855"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lang w:val="en-US"/>
              </w:rPr>
            </w:pPr>
            <w:r>
              <w:rPr>
                <w:color w:val="000000"/>
                <w:lang w:val="en-US"/>
              </w:rPr>
              <w:t>Schwarzachklamm near Gsteinach</w:t>
            </w:r>
          </w:p>
        </w:tc>
        <w:tc>
          <w:tcPr>
            <w:tcW w:w="1500" w:type="dxa"/>
            <w:tcBorders>
              <w:top w:val="single" w:sz="8" w:space="0" w:color="000000"/>
              <w:start w:val="single" w:sz="8" w:space="0" w:color="000000"/>
              <w:bottom w:val="single" w:sz="8" w:space="0" w:color="000000"/>
              <w:end w:val="single" w:sz="8" w:space="0" w:color="000000"/>
            </w:tcBorders>
          </w:tcPr>
          <w:p>
            <w:pPr>
              <w:pStyle w:val="Normal"/>
              <w:spacing w:before="0" w:after="240"/>
              <w:rPr>
                <w:rFonts w:ascii="Arial" w:hAnsi="Arial" w:eastAsia="Arial" w:cs="Arial"/>
                <w:color w:val="000000"/>
                <w:sz w:val="22"/>
                <w:szCs w:val="22"/>
                <w:lang w:val="en-US"/>
              </w:rPr>
            </w:pPr>
            <w:r>
              <w:rPr>
                <w:rFonts w:eastAsia="Arial" w:cs="Arial"/>
                <w:color w:val="000000"/>
                <w:sz w:val="22"/>
                <w:szCs w:val="22"/>
                <w:lang w:val="en-US"/>
              </w:rPr>
              <w:t>49,352118 11,232484</w:t>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lineRule="auto" w:line="240"/>
              <w:rPr>
                <w:i/>
                <w:i/>
                <w:iCs/>
                <w:color w:val="000000"/>
                <w:lang w:val="en-US"/>
              </w:rPr>
            </w:pPr>
            <w:r>
              <w:rPr>
                <w:i/>
                <w:iCs/>
                <w:color w:val="000000"/>
                <w:lang w:val="en-US"/>
              </w:rPr>
              <w:t>Homalia trichomanoides</w:t>
            </w:r>
          </w:p>
        </w:tc>
        <w:tc>
          <w:tcPr>
            <w:tcW w:w="1595"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lang w:val="en-US"/>
              </w:rPr>
              <w:t>Bark (</w:t>
            </w:r>
            <w:r>
              <w:rPr>
                <w:i/>
                <w:iCs/>
                <w:color w:val="000000"/>
                <w:lang w:val="en-US"/>
              </w:rPr>
              <w:t>Fagus sylvatica</w:t>
            </w:r>
            <w:r>
              <w:rPr>
                <w:color w:val="000000"/>
                <w:lang w:val="en-US"/>
              </w:rPr>
              <w:t>)</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345</w:t>
            </w:r>
          </w:p>
          <w:p>
            <w:pPr>
              <w:pStyle w:val="Normal"/>
              <w:spacing w:lineRule="auto" w:line="240"/>
              <w:rPr>
                <w:color w:val="000000"/>
              </w:rPr>
            </w:pPr>
            <w:r>
              <w:rPr>
                <w:color w:val="000000"/>
              </w:rPr>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rPr>
              <w:t>May-2025</w:t>
            </w:r>
          </w:p>
          <w:p>
            <w:pPr>
              <w:pStyle w:val="Normal"/>
              <w:spacing w:lineRule="auto" w:line="240"/>
              <w:rPr>
                <w:color w:val="000000"/>
              </w:rPr>
            </w:pPr>
            <w:r>
              <w:rPr>
                <w:color w:val="000000"/>
              </w:rPr>
            </w:r>
          </w:p>
        </w:tc>
      </w:tr>
      <w:tr>
        <w:trPr>
          <w:trHeight w:val="855" w:hRule="atLeast"/>
        </w:trPr>
        <w:tc>
          <w:tcPr>
            <w:tcW w:w="233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color w:val="000000"/>
                <w:lang w:val="en-US"/>
              </w:rPr>
            </w:pPr>
            <w:r>
              <w:rPr>
                <w:color w:val="000000"/>
                <w:lang w:val="en-US"/>
              </w:rPr>
              <w:t>Pfaffenberg near Mettendorf</w:t>
            </w:r>
          </w:p>
        </w:tc>
        <w:tc>
          <w:tcPr>
            <w:tcW w:w="1500" w:type="dxa"/>
            <w:tcBorders>
              <w:top w:val="single" w:sz="8" w:space="0" w:color="000000"/>
              <w:start w:val="single" w:sz="8" w:space="0" w:color="000000"/>
              <w:bottom w:val="single" w:sz="8" w:space="0" w:color="000000"/>
              <w:end w:val="single" w:sz="8" w:space="0" w:color="000000"/>
            </w:tcBorders>
          </w:tcPr>
          <w:p>
            <w:pPr>
              <w:pStyle w:val="Normal"/>
              <w:spacing w:before="0" w:after="240"/>
              <w:rPr>
                <w:rFonts w:ascii="Arial" w:hAnsi="Arial" w:eastAsia="Arial" w:cs="Arial"/>
                <w:color w:val="000000"/>
                <w:sz w:val="22"/>
                <w:szCs w:val="22"/>
                <w:lang w:val="en-US"/>
              </w:rPr>
            </w:pPr>
            <w:r>
              <w:rPr>
                <w:rFonts w:eastAsia="Arial" w:cs="Arial"/>
                <w:color w:val="000000"/>
                <w:sz w:val="22"/>
                <w:szCs w:val="22"/>
                <w:lang w:val="en-US"/>
              </w:rPr>
              <w:t>49,02075 11,35922</w:t>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lineRule="auto" w:line="240"/>
              <w:rPr>
                <w:i/>
                <w:i/>
                <w:iCs/>
                <w:color w:val="000000"/>
                <w:lang w:val="en-US"/>
              </w:rPr>
            </w:pPr>
            <w:r>
              <w:rPr>
                <w:i/>
                <w:iCs/>
                <w:color w:val="000000"/>
                <w:lang w:val="en-US"/>
              </w:rPr>
              <w:t xml:space="preserve">Pseudoambly-stegium subtile </w:t>
            </w:r>
          </w:p>
        </w:tc>
        <w:tc>
          <w:tcPr>
            <w:tcW w:w="1595"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lang w:val="en-US"/>
              </w:rPr>
              <w:t>Bark (</w:t>
            </w:r>
            <w:r>
              <w:rPr>
                <w:i/>
                <w:iCs/>
                <w:color w:val="000000"/>
                <w:lang w:val="en-US"/>
              </w:rPr>
              <w:t xml:space="preserve">Sorbus </w:t>
            </w:r>
            <w:r>
              <w:rPr>
                <w:i w:val="false"/>
                <w:iCs w:val="false"/>
                <w:color w:val="000000"/>
                <w:lang w:val="en-US"/>
              </w:rPr>
              <w:t>sp.)</w:t>
            </w:r>
          </w:p>
        </w:tc>
        <w:tc>
          <w:tcPr>
            <w:tcW w:w="818"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color w:val="000000"/>
              </w:rPr>
            </w:pPr>
            <w:r>
              <w:rPr>
                <w:color w:val="000000"/>
              </w:rPr>
              <w:t>470</w:t>
            </w:r>
          </w:p>
        </w:tc>
        <w:tc>
          <w:tcPr>
            <w:tcW w:w="1194" w:type="dxa"/>
            <w:tcBorders>
              <w:top w:val="single" w:sz="8" w:space="0" w:color="000000"/>
              <w:start w:val="single" w:sz="8" w:space="0" w:color="000000"/>
              <w:bottom w:val="single" w:sz="8" w:space="0" w:color="000000"/>
              <w:end w:val="single" w:sz="8" w:space="0" w:color="000000"/>
            </w:tcBorders>
          </w:tcPr>
          <w:p>
            <w:pPr>
              <w:pStyle w:val="Normal"/>
              <w:spacing w:lineRule="auto" w:line="240"/>
              <w:rPr>
                <w:color w:val="000000"/>
              </w:rPr>
            </w:pPr>
            <w:r>
              <w:rPr>
                <w:color w:val="000000"/>
              </w:rPr>
              <w:t>Nov-2024</w:t>
            </w:r>
          </w:p>
        </w:tc>
      </w:tr>
    </w:tbl>
    <w:p>
      <w:pPr>
        <w:pStyle w:val="Heading2"/>
        <w:numPr>
          <w:ilvl w:val="0"/>
          <w:numId w:val="2"/>
        </w:numPr>
        <w:pBdr/>
        <w:shd w:fill="FCFDFD" w:val="clear"/>
        <w:spacing w:before="0" w:after="0"/>
        <w:rPr/>
      </w:pPr>
      <w:r>
        <w:rPr/>
      </w:r>
      <w:bookmarkStart w:id="6" w:name="_iq1lad7rqj51"/>
      <w:bookmarkStart w:id="7" w:name="_iq1lad7rqj51"/>
      <w:bookmarkEnd w:id="7"/>
    </w:p>
    <w:p>
      <w:pPr>
        <w:pStyle w:val="Normal"/>
        <w:rPr/>
      </w:pPr>
      <w:r>
        <w:rPr/>
      </w:r>
      <w:r>
        <w:br w:type="page"/>
      </w:r>
    </w:p>
    <w:p>
      <w:pPr>
        <w:pStyle w:val="Normal"/>
        <w:rPr/>
      </w:pPr>
      <w:r>
        <w:rPr/>
      </w:r>
    </w:p>
    <w:p>
      <w:pPr>
        <w:pStyle w:val="Normal"/>
        <w:rPr/>
      </w:pPr>
      <w:r>
        <w:rPr/>
        <w:t>Graphical overviews of laboratory and bioinformatics are available</w:t>
      </w:r>
      <w:r>
        <w:rPr/>
        <w:t xml:space="preserve"> </w:t>
      </w:r>
      <w:r>
        <w:rPr/>
        <w:t>(s</w:t>
      </w:r>
      <w:r>
        <w:rPr/>
        <w:t xml:space="preserve">upp. fig. </w:t>
      </w:r>
      <w:r>
        <w:rPr/>
        <w:t>1</w:t>
      </w:r>
      <w:r>
        <w:rPr/>
        <w:t xml:space="preserve"> and </w:t>
      </w:r>
      <w:r>
        <w:rPr/>
        <w:t>2)</w:t>
      </w:r>
      <w:r>
        <w:rPr/>
        <w:t xml:space="preserve">. </w:t>
      </w:r>
    </w:p>
    <w:p>
      <w:pPr>
        <w:pStyle w:val="Heading3"/>
        <w:rPr>
          <w:lang w:val="en-US"/>
        </w:rPr>
      </w:pPr>
      <w:r>
        <w:rPr>
          <w:lang w:val="en-US"/>
        </w:rPr>
        <w:t>Microscopy</w:t>
      </w:r>
    </w:p>
    <w:p>
      <w:pPr>
        <w:pStyle w:val="Normal"/>
        <w:rPr/>
      </w:pPr>
      <w:r>
        <w:rPr>
          <w:i w:val="false"/>
          <w:iCs w:val="false"/>
          <w:sz w:val="24"/>
          <w:szCs w:val="24"/>
          <w:lang w:val="en-US"/>
        </w:rPr>
        <w:t>Preliminary surveys for the presence of Nostoc were conducted with standard light microscopy, first using binocular stereoscope (MDG-17, Wild HeerBrugg, Switzerland), followed by compound light microscopy (Leitz HM-Lux 3 and Revolve 2, ECHO, San Diego, USA)</w:t>
      </w:r>
      <w:r>
        <w:rPr>
          <w:lang w:val="en-US"/>
        </w:rPr>
        <w:t xml:space="preserve">. For comparison, some specimens which were surveyed for </w:t>
      </w:r>
      <w:r>
        <w:rPr>
          <w:i/>
          <w:iCs/>
          <w:lang w:val="en-US"/>
        </w:rPr>
        <w:t>Nostoc-</w:t>
      </w:r>
      <w:r>
        <w:rPr>
          <w:i w:val="false"/>
          <w:iCs w:val="false"/>
          <w:lang w:val="en-US"/>
        </w:rPr>
        <w:t>like</w:t>
      </w:r>
      <w:r>
        <w:rPr>
          <w:lang w:val="en-US"/>
        </w:rPr>
        <w:t xml:space="preserve"> colonies using light microscope and which were found not to host visible colonies were then subjected to downstream analysis for endophytic cyanobacteria (</w:t>
      </w:r>
      <w:r>
        <w:rPr>
          <w:lang w:val="en-US"/>
        </w:rPr>
        <w:t>epiphyte reduction</w:t>
      </w:r>
      <w:r>
        <w:rPr>
          <w:lang w:val="en-US"/>
        </w:rPr>
        <w:t xml:space="preserve">, whole-community DNA extraction and epi-fluorescence microscopy, see next). Sectioning was done using sections of one centimeter from the top (o), middle (m) and bottom (u) of caulids (Fig. 1), for comparison of relative abundances of </w:t>
      </w:r>
      <w:r>
        <w:rPr>
          <w:i/>
          <w:lang w:val="en-US"/>
        </w:rPr>
        <w:t>nifH</w:t>
      </w:r>
      <w:r>
        <w:rPr>
          <w:lang w:val="en-US"/>
        </w:rPr>
        <w:t xml:space="preserve"> abundances among different positions. Sectioning was done with a scalpel that was flame-sterilized over a Bunsen burner, before and after cuts. Samples with </w:t>
      </w:r>
      <w:r>
        <w:rPr>
          <w:i/>
          <w:iCs/>
          <w:lang w:val="en-US"/>
        </w:rPr>
        <w:t>Nostoc-</w:t>
      </w:r>
      <w:r>
        <w:rPr>
          <w:i w:val="false"/>
          <w:iCs w:val="false"/>
          <w:lang w:val="en-US"/>
        </w:rPr>
        <w:t>like</w:t>
      </w:r>
      <w:r>
        <w:rPr>
          <w:lang w:val="en-US"/>
        </w:rPr>
        <w:t xml:space="preserve"> colonies were then subjected to further investigation with epifluorescence microscopy. </w:t>
      </w:r>
    </w:p>
    <w:p>
      <w:pPr>
        <w:pStyle w:val="Normal"/>
        <w:rPr>
          <w:lang w:val="en-US"/>
        </w:rPr>
      </w:pPr>
      <w:r>
        <w:rPr>
          <w:lang w:val="en-US"/>
        </w:rPr>
      </w:r>
    </w:p>
    <w:p>
      <w:pPr>
        <w:pStyle w:val="Normal"/>
        <w:rPr>
          <w:lang w:val="en-US"/>
        </w:rPr>
      </w:pPr>
      <w:r>
        <w:rPr>
          <w:lang w:val="en-US"/>
        </w:rPr>
        <w:t>Moss tissues and bacterial cultures were observed under an epifluorescence microscope (Revolve 2, ECHO, San Diego, USA), using Revolve Software 4.1.0, app version v7.1.0.  With epifluorescence microscopy, cyanobacteria can be easily more discerned from eukaryotic microalgae and plant cells (Grigoryeva, 2020; Wojtasiewicz &amp; Stoń-Egiert, 2016).  “Cy5” filter setup (CHROMA 49009, ex: 610-650 nm, em: 660-735 nm), can be used to excite C-phycocyanins (Poniedziałek et al., 2017). Phycoerythrins can be excited using “TXRED” filter settings (CHROMA 49008, ex: 540-580, em: 590-665 nm). Algal and plant cells were included in image overlays, using the “FITC/Cy2” filter set (CHROMA 49002, ex: 450-490 nm, em: 500-550 nm) (Donaldson, 2020; Tobimatsu et al., 2013).</w:t>
      </w:r>
    </w:p>
    <w:p>
      <w:pPr>
        <w:pStyle w:val="Normal"/>
        <w:rPr/>
      </w:pPr>
      <w:r>
        <w:rPr/>
      </w:r>
    </w:p>
    <w:p>
      <w:pPr>
        <w:pStyle w:val="Heading3"/>
        <w:rPr/>
      </w:pPr>
      <w:r>
        <w:rPr/>
        <w:t xml:space="preserve">Endophyte survey </w:t>
      </w:r>
    </w:p>
    <w:p>
      <w:pPr>
        <w:pStyle w:val="Normal"/>
        <w:rPr/>
      </w:pPr>
      <w:r>
        <w:rPr>
          <w:lang w:val="en-US"/>
        </w:rPr>
        <w:t xml:space="preserve">To test the hypothesis that cyanobacteria inhabit endophytic compartments of the host mosses, </w:t>
      </w:r>
      <w:r>
        <w:rPr>
          <w:lang w:val="en-US"/>
        </w:rPr>
        <w:t xml:space="preserve">epiphytic flora of </w:t>
      </w:r>
      <w:r>
        <w:rPr>
          <w:lang w:val="en-US"/>
        </w:rPr>
        <w:t xml:space="preserve">some </w:t>
      </w:r>
      <w:r>
        <w:rPr>
          <w:i/>
          <w:iCs/>
          <w:lang w:val="en-US"/>
        </w:rPr>
        <w:t xml:space="preserve">Hylocomium </w:t>
      </w:r>
      <w:r>
        <w:rPr>
          <w:lang w:val="en-US"/>
        </w:rPr>
        <w:t xml:space="preserve">moss samples were </w:t>
      </w:r>
      <w:r>
        <w:rPr>
          <w:lang w:val="en-US"/>
        </w:rPr>
        <w:t>reduced using chemical means</w:t>
      </w:r>
      <w:r>
        <w:rPr>
          <w:lang w:val="en-US"/>
        </w:rPr>
        <w:t xml:space="preserve"> </w:t>
      </w:r>
      <w:r>
        <w:rPr>
          <w:lang w:val="en-US"/>
        </w:rPr>
        <w:t>f</w:t>
      </w:r>
      <w:r>
        <w:rPr>
          <w:lang w:val="en-US"/>
        </w:rPr>
        <w:t>o</w:t>
      </w:r>
      <w:r>
        <w:rPr>
          <w:lang w:val="en-US"/>
        </w:rPr>
        <w:t>llowing</w:t>
      </w:r>
      <w:r>
        <w:rPr>
          <w:lang w:val="en-US"/>
        </w:rPr>
        <w:t xml:space="preserve"> Alvarenga et al. (2024) with some modification</w:t>
      </w:r>
      <w:r>
        <w:rPr>
          <w:lang w:val="en-US"/>
        </w:rPr>
        <w:t>s</w:t>
      </w:r>
      <w:r>
        <w:rPr>
          <w:lang w:val="en-US"/>
        </w:rPr>
        <w:t>. 2-3 grams (about 5-10 gametophytes) of moss were manually cleaned of debris, placed into plastic 50mL centrifuge tubes, and submerged in 40mL of 0.5% Tween20 solution. Samples were ultrasonicated for a minimum of 2 minutes with a VWR ultrsonic cleaner at power 5. Liquid was removed by decanting, and replaced with 40 mL sterile de-ionized, distilled H</w:t>
      </w:r>
      <w:r>
        <w:rPr>
          <w:vertAlign w:val="subscript"/>
          <w:lang w:val="en-US"/>
        </w:rPr>
        <w:t>2</w:t>
      </w:r>
      <w:r>
        <w:rPr>
          <w:lang w:val="en-US"/>
        </w:rPr>
        <w:t>O, vortexed for 10 seconds, and discarded by decanting. Samples were then subjected twice to submersion in 1% NaOCl solution, and agitation by vortex mixer for 10 seconds at high speed. After each NaOCl application, samples were rinsed and agitated in 40 mL sterile de-ionized, distilled H</w:t>
      </w:r>
      <w:r>
        <w:rPr>
          <w:vertAlign w:val="subscript"/>
          <w:lang w:val="en-US"/>
        </w:rPr>
        <w:t>2</w:t>
      </w:r>
      <w:r>
        <w:rPr>
          <w:lang w:val="en-US"/>
        </w:rPr>
        <w:t xml:space="preserve">O. </w:t>
      </w:r>
      <w:r>
        <w:rPr>
          <w:lang w:val="en-US"/>
        </w:rPr>
        <w:t>Epiphyte-reduced</w:t>
      </w:r>
      <w:r>
        <w:rPr>
          <w:lang w:val="en-US"/>
        </w:rPr>
        <w:t xml:space="preserve"> samples were then again inspected for visible cyanobacterial colonization. </w:t>
      </w:r>
    </w:p>
    <w:p>
      <w:pPr>
        <w:pStyle w:val="Heading3"/>
        <w:rPr/>
      </w:pPr>
      <w:r>
        <w:rPr>
          <w:lang w:val="en-US"/>
        </w:rPr>
        <w:t xml:space="preserve">Culture of </w:t>
      </w:r>
      <w:r>
        <w:rPr>
          <w:i/>
          <w:iCs/>
          <w:lang w:val="en-US"/>
        </w:rPr>
        <w:t>Nostoc</w:t>
      </w:r>
      <w:r>
        <w:rPr>
          <w:lang w:val="en-US"/>
        </w:rPr>
        <w:t>-like organisms</w:t>
      </w:r>
    </w:p>
    <w:p>
      <w:pPr>
        <w:pStyle w:val="Normal"/>
        <w:rPr>
          <w:lang w:val="en-US"/>
        </w:rPr>
      </w:pPr>
      <w:r>
        <w:rPr>
          <w:lang w:val="en-US"/>
        </w:rPr>
      </w:r>
    </w:p>
    <w:p>
      <w:pPr>
        <w:pStyle w:val="Normal"/>
        <w:rPr/>
      </w:pPr>
      <w:r>
        <w:rPr>
          <w:lang w:val="en-US"/>
        </w:rPr>
        <w:t xml:space="preserve">The abundant chloroplast DNA present in host moss tissue complicates molecular laboratory and bioinformatic pipelines for characterizing cyanobacteria (Fitzpatrick et al., 2018; Song &amp; Xie, 2020), so we attempted a cultivation-based pipeline for describing our observed </w:t>
      </w:r>
      <w:r>
        <w:rPr>
          <w:i/>
          <w:lang w:val="en-US"/>
        </w:rPr>
        <w:t>Nostoc</w:t>
      </w:r>
      <w:r>
        <w:rPr>
          <w:lang w:val="en-US"/>
        </w:rPr>
        <w:t>-like organisms during microscopic inspection. “</w:t>
      </w:r>
      <w:r>
        <w:rPr>
          <w:i/>
          <w:lang w:val="en-US"/>
        </w:rPr>
        <w:t>Nostoc</w:t>
      </w:r>
      <w:r>
        <w:rPr>
          <w:lang w:val="en-US"/>
        </w:rPr>
        <w:t>-like organisms” were defined as any filamentous, chlorophyllous bacteria that were observed in spherical, sheathed colonies, especially when trichomes displayed obvious intercalary heter</w:t>
      </w:r>
      <w:r>
        <w:rPr>
          <w:lang w:val="en-US"/>
        </w:rPr>
        <w:t>o</w:t>
      </w:r>
      <w:r>
        <w:rPr>
          <w:lang w:val="en-US"/>
        </w:rPr>
        <w:t>cytes. Media for all cultivation was nitrogen-free BG-11</w:t>
      </w:r>
      <w:r>
        <w:rPr>
          <w:vertAlign w:val="subscript"/>
          <w:lang w:val="en-US"/>
        </w:rPr>
        <w:t>0</w:t>
      </w:r>
      <w:r>
        <w:rPr>
          <w:lang w:val="en-US"/>
        </w:rPr>
        <w:t xml:space="preserve">  media (Rippka et al., 1979). Entire stems (0.5-2 cm length) of host moss were submerged into liquid media for 2-8 weeks in 15 mL Falcon centrifuge tubes at room temperatures with natural (window) lighting, followed by removal of moss tissue upon observation of phototrophic growth, to reduce further contamination. Artificial augmentation of both temperature and light levels were attempted but either did not produce additional growth or resulted in colony death. Most phototrophic growth observed in these samples were due to eukaryotic algae, but in some cases growth of </w:t>
      </w:r>
      <w:r>
        <w:rPr>
          <w:i/>
          <w:lang w:val="en-US"/>
        </w:rPr>
        <w:t>Nostoc</w:t>
      </w:r>
      <w:r>
        <w:rPr>
          <w:lang w:val="en-US"/>
        </w:rPr>
        <w:t xml:space="preserve">-like colonies was observed. These colonies of </w:t>
      </w:r>
      <w:r>
        <w:rPr>
          <w:i/>
          <w:lang w:val="en-US"/>
        </w:rPr>
        <w:t>Nostoc</w:t>
      </w:r>
      <w:r>
        <w:rPr>
          <w:lang w:val="en-US"/>
        </w:rPr>
        <w:t xml:space="preserve">-like organisms were then further separated into separate liquid media aliquots through trapping with pipette tips, retaining as little host tissue and Eukaryotic algae as possible in the process. After 1-2 months, these colonies </w:t>
      </w:r>
      <w:r>
        <w:rPr>
          <w:lang w:val="en-US"/>
        </w:rPr>
        <w:t>reproduced sufficient further</w:t>
      </w:r>
      <w:r>
        <w:rPr>
          <w:lang w:val="en-US"/>
        </w:rPr>
        <w:t xml:space="preserve"> colonies, which were then individually captured using micropipettes set to take up 2 microliter volumes. Colonies were then transferred to new 1.5 mL centrifuge tubes, where they were subjected to a sterile water wash and subsequent submersion in fresh BG-11</w:t>
      </w:r>
      <w:r>
        <w:rPr>
          <w:vertAlign w:val="subscript"/>
          <w:lang w:val="en-US"/>
        </w:rPr>
        <w:t>0</w:t>
      </w:r>
      <w:r>
        <w:rPr>
          <w:lang w:val="en-US"/>
        </w:rPr>
        <w:t xml:space="preserve"> media in 15 mL centrifuge tubes. These isolations were allowed to grow an additional 1-2 months, then were subject to microscopy as detailed above, and colony PCR as detailed below. </w:t>
      </w:r>
      <w:r>
        <w:rPr>
          <w:i/>
          <w:lang w:val="en-US"/>
        </w:rPr>
        <w:t>Nostoc</w:t>
      </w:r>
      <w:r>
        <w:rPr>
          <w:lang w:val="en-US"/>
        </w:rPr>
        <w:t xml:space="preserve">-like organisms were successfully isolated and cultivated from 4 separate moss host species, for further DNA extraction and PCR. </w:t>
      </w:r>
    </w:p>
    <w:p>
      <w:pPr>
        <w:pStyle w:val="Heading3"/>
        <w:rPr>
          <w:lang w:val="en-US"/>
        </w:rPr>
      </w:pPr>
      <w:bookmarkStart w:id="8" w:name="_n8i8wxkpzgxi"/>
      <w:bookmarkEnd w:id="8"/>
      <w:r>
        <w:rPr>
          <w:lang w:val="en-US"/>
        </w:rPr>
        <w:t>DNA extraction</w:t>
      </w:r>
    </w:p>
    <w:p>
      <w:pPr>
        <w:pStyle w:val="Normal"/>
        <w:rPr>
          <w:lang w:val="en-US"/>
        </w:rPr>
      </w:pPr>
      <w:r>
        <w:rPr>
          <w:lang w:val="en-US"/>
        </w:rPr>
        <w:t xml:space="preserve">Whole-community (host and microbial) DNA was extracted using the Quick-Start Protocol DNeasy®Plant Pro Kit from QIAGEN®, following manufacturer instructions. In step 1, twice the amount of CD1 was initially added, as the specified amount of added liquid was often not sufficient to rehydrate moss tissue. </w:t>
      </w:r>
    </w:p>
    <w:p>
      <w:pPr>
        <w:pStyle w:val="Normal"/>
        <w:rPr>
          <w:lang w:val="en-US"/>
        </w:rPr>
      </w:pPr>
      <w:r>
        <w:rPr>
          <w:lang w:val="en-US"/>
        </w:rPr>
      </w:r>
    </w:p>
    <w:p>
      <w:pPr>
        <w:pStyle w:val="Normal"/>
        <w:rPr/>
      </w:pPr>
      <w:r>
        <w:rPr>
          <w:lang w:val="en-US"/>
        </w:rPr>
        <w:t xml:space="preserve">For use as additional PCR controls for whole-community </w:t>
      </w:r>
      <w:r>
        <w:rPr>
          <w:lang w:val="en-US"/>
        </w:rPr>
        <w:t>(moss + microbiome)</w:t>
      </w:r>
      <w:r>
        <w:rPr>
          <w:lang w:val="en-US"/>
        </w:rPr>
        <w:t xml:space="preserve"> </w:t>
      </w:r>
      <w:r>
        <w:rPr>
          <w:i/>
          <w:lang w:val="en-US"/>
        </w:rPr>
        <w:t>nifH</w:t>
      </w:r>
      <w:r>
        <w:rPr>
          <w:lang w:val="en-US"/>
        </w:rPr>
        <w:t xml:space="preserve">, DNA was also extracted from (1) liquid culture of </w:t>
      </w:r>
      <w:r>
        <w:rPr>
          <w:i/>
          <w:iCs/>
          <w:lang w:val="en-US"/>
        </w:rPr>
        <w:t>Trichormus</w:t>
      </w:r>
      <w:r>
        <w:rPr>
          <w:i/>
          <w:iCs/>
          <w:lang w:val="en-US"/>
        </w:rPr>
        <w:t xml:space="preserve"> variabilis</w:t>
      </w:r>
      <w:r>
        <w:rPr>
          <w:lang w:val="en-US"/>
        </w:rPr>
        <w:t xml:space="preserve"> (DSM 107003, </w:t>
      </w:r>
      <w:r>
        <w:rPr>
          <w:lang w:val="en-US"/>
        </w:rPr>
        <w:t xml:space="preserve">syn. </w:t>
      </w:r>
      <w:r>
        <w:rPr>
          <w:i/>
          <w:iCs/>
          <w:lang w:val="en-US"/>
        </w:rPr>
        <w:t>Anabaena variabilis</w:t>
      </w:r>
      <w:r>
        <w:rPr>
          <w:lang w:val="en-US"/>
        </w:rPr>
        <w:t xml:space="preserve">), (2) leaf and stems of </w:t>
      </w:r>
      <w:r>
        <w:rPr>
          <w:lang w:val="en-US"/>
        </w:rPr>
        <w:t>epiphyte-rduc</w:t>
      </w:r>
      <w:r>
        <w:rPr>
          <w:lang w:val="en-US"/>
        </w:rPr>
        <w:t xml:space="preserve">ed moss </w:t>
      </w:r>
      <w:r>
        <w:rPr>
          <w:i/>
          <w:iCs/>
          <w:lang w:val="en-US"/>
        </w:rPr>
        <w:t xml:space="preserve">Brachythecium </w:t>
      </w:r>
      <w:r>
        <w:rPr>
          <w:i w:val="false"/>
          <w:iCs w:val="false"/>
          <w:lang w:val="en-US"/>
        </w:rPr>
        <w:t xml:space="preserve">sp. collected from a roadside urban grass-dominated landscape in Bayreuth, Germany, that was presumed to be abundant with nitrates and therefore low in cyanobacterial nitrogen fixation activity, </w:t>
      </w:r>
      <w:r>
        <w:rPr>
          <w:lang w:val="en-US"/>
        </w:rPr>
        <w:t xml:space="preserve">and (3) </w:t>
      </w:r>
      <w:r>
        <w:rPr>
          <w:lang w:val="en-US"/>
        </w:rPr>
        <w:t>epiphyte</w:t>
      </w:r>
      <w:r>
        <w:rPr>
          <w:lang w:val="en-US"/>
        </w:rPr>
        <w:t>-</w:t>
      </w:r>
      <w:r>
        <w:rPr>
          <w:lang w:val="en-US"/>
        </w:rPr>
        <w:t>reduc</w:t>
      </w:r>
      <w:r>
        <w:rPr>
          <w:lang w:val="en-US"/>
        </w:rPr>
        <w:t xml:space="preserve">ed leaf tissue from </w:t>
      </w:r>
      <w:r>
        <w:rPr>
          <w:i/>
          <w:iCs/>
          <w:lang w:val="en-US"/>
        </w:rPr>
        <w:t xml:space="preserve">Solidago </w:t>
      </w:r>
      <w:r>
        <w:rPr>
          <w:lang w:val="en-US"/>
        </w:rPr>
        <w:t xml:space="preserve">sp., a common vascular plant in the region. </w:t>
      </w:r>
      <w:r>
        <w:rPr>
          <w:lang w:val="en-US"/>
        </w:rPr>
        <w:t xml:space="preserve">In both </w:t>
      </w:r>
      <w:r>
        <w:rPr>
          <w:i/>
          <w:iCs/>
          <w:lang w:val="en-US"/>
        </w:rPr>
        <w:t>Brachythecium</w:t>
      </w:r>
      <w:r>
        <w:rPr>
          <w:i w:val="false"/>
          <w:iCs w:val="false"/>
          <w:lang w:val="en-US"/>
        </w:rPr>
        <w:t xml:space="preserve"> and </w:t>
      </w:r>
      <w:r>
        <w:rPr>
          <w:i/>
          <w:iCs/>
          <w:lang w:val="en-US"/>
        </w:rPr>
        <w:t>Solidago</w:t>
      </w:r>
      <w:r>
        <w:rPr>
          <w:i w:val="false"/>
          <w:iCs w:val="false"/>
          <w:lang w:val="en-US"/>
        </w:rPr>
        <w:t xml:space="preserve"> control samples, epiphyte reduction was conducted in the following way: thorough rinse with sterile water, followed by immersion for 1 minute in 97% ethanol soak and 30 seconds in 2% NaOCl, followed by additional immersion for 1 minute in 97% ethanol and sterile water rinse. </w:t>
      </w:r>
      <w:r>
        <w:rPr>
          <w:i w:val="false"/>
          <w:iCs w:val="false"/>
          <w:lang w:val="en-US"/>
        </w:rPr>
        <w:t>After</w:t>
      </w:r>
      <w:r>
        <w:rPr>
          <w:lang w:val="en-US"/>
        </w:rPr>
        <w:t xml:space="preserve"> extraction, the DNA was checked for quality and quantity using the NanoDrop One (Thermo Scientific) and Qubit 4 assay (Thermo Fisher Scientific) and frozen at -20°C to preserve it for later testing. </w:t>
      </w:r>
    </w:p>
    <w:p>
      <w:pPr>
        <w:pStyle w:val="Heading3"/>
        <w:rPr/>
      </w:pPr>
      <w:r>
        <w:rPr/>
        <w:t>PCR</w:t>
      </w:r>
    </w:p>
    <w:p>
      <w:pPr>
        <w:pStyle w:val="Normal"/>
        <w:rPr>
          <w:lang w:val="en-US"/>
        </w:rPr>
      </w:pPr>
      <w:r>
        <w:rPr>
          <w:lang w:val="en-US"/>
        </w:rPr>
      </w:r>
    </w:p>
    <w:p>
      <w:pPr>
        <w:pStyle w:val="Normal"/>
        <w:rPr>
          <w:i w:val="false"/>
          <w:i w:val="false"/>
          <w:iCs w:val="false"/>
          <w:lang w:val="en-US"/>
        </w:rPr>
      </w:pPr>
      <w:r>
        <w:rPr>
          <w:i w:val="false"/>
          <w:iCs w:val="false"/>
          <w:lang w:val="en-US"/>
        </w:rPr>
        <w:t xml:space="preserve">To test for the presence of cryptic colonization by nitrogen-fixing cyanobacteria in moss tissues, </w:t>
      </w:r>
    </w:p>
    <w:p>
      <w:pPr>
        <w:pStyle w:val="Normal"/>
        <w:rPr/>
      </w:pPr>
      <w:r>
        <w:rPr>
          <w:i w:val="false"/>
          <w:iCs w:val="false"/>
          <w:lang w:val="en-US"/>
        </w:rPr>
        <w:t>c</w:t>
      </w:r>
      <w:r>
        <w:rPr>
          <w:i w:val="false"/>
          <w:iCs w:val="false"/>
          <w:lang w:val="en-US"/>
        </w:rPr>
        <w:t xml:space="preserve">ulture-free, direct PCR-amplification of </w:t>
      </w:r>
      <w:r>
        <w:rPr>
          <w:i w:val="false"/>
          <w:iCs w:val="false"/>
          <w:lang w:val="en-US"/>
        </w:rPr>
        <w:t>cyanobacterial</w:t>
      </w:r>
      <w:r>
        <w:rPr>
          <w:i w:val="false"/>
          <w:iCs w:val="false"/>
          <w:lang w:val="en-US"/>
        </w:rPr>
        <w:t xml:space="preserve"> </w:t>
      </w:r>
      <w:r>
        <w:rPr>
          <w:i/>
          <w:lang w:val="en-US"/>
        </w:rPr>
        <w:t>nifH</w:t>
      </w:r>
      <w:r>
        <w:rPr>
          <w:lang w:val="en-US"/>
        </w:rPr>
        <w:t xml:space="preserve"> genes from DNA of whole-community </w:t>
      </w:r>
      <w:r>
        <w:rPr>
          <w:lang w:val="en-US"/>
        </w:rPr>
        <w:t>mosses</w:t>
      </w:r>
      <w:r>
        <w:rPr>
          <w:lang w:val="en-US"/>
        </w:rPr>
        <w:t xml:space="preserve"> </w:t>
      </w:r>
      <w:r>
        <w:rPr>
          <w:lang w:val="en-US"/>
        </w:rPr>
        <w:t>(</w:t>
      </w:r>
      <w:r>
        <w:rPr>
          <w:lang w:val="en-US"/>
        </w:rPr>
        <w:t>moss+microbiome</w:t>
      </w:r>
      <w:r>
        <w:rPr>
          <w:lang w:val="en-US"/>
        </w:rPr>
        <w:t>)</w:t>
      </w:r>
      <w:r>
        <w:rPr>
          <w:lang w:val="en-US"/>
        </w:rPr>
        <w:t xml:space="preserve"> w</w:t>
      </w:r>
      <w:r>
        <w:rPr>
          <w:lang w:val="en-US"/>
        </w:rPr>
        <w:t>as conducted on</w:t>
      </w:r>
      <w:r>
        <w:rPr>
          <w:lang w:val="en-US"/>
        </w:rPr>
        <w:t xml:space="preserve"> samples of </w:t>
      </w:r>
      <w:r>
        <w:rPr>
          <w:i/>
          <w:iCs/>
          <w:lang w:val="en-US"/>
        </w:rPr>
        <w:t>H. splendens</w:t>
      </w:r>
      <w:r>
        <w:rPr>
          <w:lang w:val="en-US"/>
        </w:rPr>
        <w:t xml:space="preserve"> collected from the University of Bayreuth Ecological Botanical Garden. </w:t>
      </w:r>
      <w:r>
        <w:rPr>
          <w:lang w:val="en-US"/>
        </w:rPr>
        <w:t xml:space="preserve">These moss samples had been inspected via standard light microscopy and had shown no evidence of cyanobacterial colonization. The CNF (5‘-CGTAGGTTGCGACCCTAAGGCTGA-3‘) and CNR (5‘-GCATACATCGCCATCATTTCACC-3‘) primers (Olson et al., 1998) were used as per Dı́ez et al. (2007). These primers are expected to amplify sequences of 359 bp length when used on cyanobacterial DNA.  </w:t>
      </w:r>
      <w:r>
        <w:rPr>
          <w:lang w:val="en-US"/>
        </w:rPr>
        <w:t>Reactions were conducted in 25 μL volumes: 12.5 μL NEB Q5® High-Fidelity 2X Master Mix, 0.3 μL BSA (20 ng/μL), 1.2  μL forward and reverse primers each (10 μM), 7.3 μL PCR-grade H</w:t>
      </w:r>
      <w:r>
        <w:rPr>
          <w:vertAlign w:val="subscript"/>
          <w:lang w:val="en-US"/>
        </w:rPr>
        <w:t>2</w:t>
      </w:r>
      <w:r>
        <w:rPr>
          <w:lang w:val="en-US"/>
        </w:rPr>
        <w:t xml:space="preserve">O and 2.5 μL of template DNA. PCR conditions were as follows: initial denaturation at 98ºC for 2 min, followed by 32 cycles of 98ºC denaturing for 15 s, 50ºC annealing for 30 s and 72ºC extension for 30 s, and a final extension </w:t>
      </w:r>
      <w:r>
        <w:rPr/>
        <w:t xml:space="preserve">of 72ºC for 7 min. </w:t>
      </w:r>
      <w:r>
        <w:rPr>
          <w:i/>
          <w:iCs/>
        </w:rPr>
        <w:t>nifH</w:t>
      </w:r>
      <w:r>
        <w:rPr/>
        <w:t xml:space="preserve"> PCR amplicons from whole-community moss samples were subject to gel visualization but were not further sequenced, due to an apparent abundance of </w:t>
      </w:r>
      <w:r>
        <w:rPr>
          <w:i/>
          <w:iCs/>
        </w:rPr>
        <w:t>nifH</w:t>
      </w:r>
      <w:r>
        <w:rPr>
          <w:i w:val="false"/>
          <w:iCs w:val="false"/>
        </w:rPr>
        <w:t xml:space="preserve"> homologs </w:t>
      </w:r>
      <w:r>
        <w:rPr>
          <w:i w:val="false"/>
          <w:iCs w:val="false"/>
        </w:rPr>
        <w:t>(Angel et al., 2018)</w:t>
      </w:r>
      <w:r>
        <w:rPr>
          <w:i w:val="false"/>
          <w:iCs w:val="false"/>
        </w:rPr>
        <w:t xml:space="preserve"> </w:t>
      </w:r>
      <w:r>
        <w:rPr>
          <w:i w:val="false"/>
          <w:iCs w:val="false"/>
        </w:rPr>
        <w:t xml:space="preserve">from host </w:t>
      </w:r>
      <w:r>
        <w:rPr>
          <w:i w:val="false"/>
          <w:iCs w:val="false"/>
        </w:rPr>
        <w:t xml:space="preserve">mosses </w:t>
      </w:r>
      <w:r>
        <w:rPr>
          <w:i w:val="false"/>
          <w:iCs w:val="false"/>
        </w:rPr>
        <w:t>(see results).</w:t>
      </w:r>
      <w:r>
        <w:rPr>
          <w:i/>
          <w:iCs/>
        </w:rPr>
        <w:t xml:space="preserve"> </w:t>
      </w:r>
      <w:r>
        <w:rPr>
          <w:i/>
          <w:iCs/>
        </w:rPr>
        <w:t xml:space="preserve">Hylocomium </w:t>
      </w:r>
      <w:r>
        <w:rPr>
          <w:i w:val="false"/>
          <w:iCs w:val="false"/>
        </w:rPr>
        <w:t>samples from University of Bayreuth</w:t>
      </w:r>
      <w:r>
        <w:rPr>
          <w:i w:val="false"/>
          <w:iCs w:val="false"/>
        </w:rPr>
        <w:t xml:space="preserve"> </w:t>
      </w:r>
      <w:r>
        <w:rPr>
          <w:i w:val="false"/>
          <w:iCs w:val="false"/>
        </w:rPr>
        <w:t xml:space="preserve">were not used in any further analysis </w:t>
      </w:r>
      <w:r>
        <w:rPr>
          <w:i w:val="false"/>
          <w:iCs w:val="false"/>
        </w:rPr>
        <w:t>in this study</w:t>
      </w:r>
      <w:r>
        <w:rPr>
          <w:i w:val="false"/>
          <w:iCs w:val="false"/>
        </w:rPr>
        <w:t xml:space="preserve">. </w:t>
      </w:r>
    </w:p>
    <w:p>
      <w:pPr>
        <w:pStyle w:val="Normal"/>
        <w:rPr/>
      </w:pPr>
      <w:r>
        <w:rPr/>
      </w:r>
    </w:p>
    <w:p>
      <w:pPr>
        <w:pStyle w:val="Normal"/>
        <w:rPr/>
      </w:pPr>
      <w:r>
        <w:rPr>
          <w:lang w:val="en-US"/>
        </w:rPr>
        <w:t>I</w:t>
      </w:r>
      <w:r>
        <w:rPr>
          <w:lang w:val="en-US"/>
        </w:rPr>
        <w:t xml:space="preserve">solation and growth of </w:t>
      </w:r>
      <w:r>
        <w:rPr>
          <w:i/>
          <w:iCs/>
          <w:lang w:val="en-US"/>
        </w:rPr>
        <w:t>Nostoc</w:t>
      </w:r>
      <w:r>
        <w:rPr>
          <w:i w:val="false"/>
          <w:iCs w:val="false"/>
          <w:lang w:val="en-US"/>
        </w:rPr>
        <w:t xml:space="preserve">-like colonies was extremely slow and yielded </w:t>
      </w:r>
      <w:r>
        <w:rPr>
          <w:i w:val="false"/>
          <w:iCs w:val="false"/>
          <w:lang w:val="en-US"/>
        </w:rPr>
        <w:t>insufficient</w:t>
      </w:r>
      <w:r>
        <w:rPr>
          <w:i w:val="false"/>
          <w:iCs w:val="false"/>
          <w:lang w:val="en-US"/>
        </w:rPr>
        <w:t xml:space="preserve"> biomass for DNA extraction. </w:t>
      </w:r>
      <w:r>
        <w:rPr>
          <w:i w:val="false"/>
          <w:iCs w:val="false"/>
          <w:lang w:val="en-US"/>
        </w:rPr>
        <w:t>Thus, for identification and taxonomic placement of successfully cultured</w:t>
      </w:r>
      <w:r>
        <w:rPr>
          <w:i/>
          <w:iCs/>
          <w:lang w:val="en-US"/>
        </w:rPr>
        <w:t xml:space="preserve"> Nostoc-</w:t>
      </w:r>
      <w:r>
        <w:rPr>
          <w:i w:val="false"/>
          <w:iCs w:val="false"/>
          <w:lang w:val="en-US"/>
        </w:rPr>
        <w:t>like organisms,</w:t>
      </w:r>
      <w:r>
        <w:rPr>
          <w:i w:val="false"/>
          <w:iCs w:val="false"/>
          <w:lang w:val="en-US"/>
        </w:rPr>
        <w:t xml:space="preserve"> direct colony PCR of individual </w:t>
      </w:r>
      <w:r>
        <w:rPr>
          <w:i/>
          <w:iCs/>
          <w:lang w:val="en-US"/>
        </w:rPr>
        <w:t xml:space="preserve">Nostoc </w:t>
      </w:r>
      <w:r>
        <w:rPr>
          <w:i w:val="false"/>
          <w:iCs w:val="false"/>
          <w:lang w:val="en-US"/>
        </w:rPr>
        <w:t>colonies</w:t>
      </w:r>
      <w:r>
        <w:rPr>
          <w:i/>
          <w:iCs/>
          <w:lang w:val="en-US"/>
        </w:rPr>
        <w:t xml:space="preserve"> </w:t>
      </w:r>
      <w:r>
        <w:rPr>
          <w:i w:val="false"/>
          <w:iCs w:val="false"/>
          <w:lang w:val="en-US"/>
        </w:rPr>
        <w:t xml:space="preserve">was necessary to target and amplify full length 16S rRNA and </w:t>
      </w:r>
      <w:r>
        <w:rPr>
          <w:i/>
          <w:iCs w:val="false"/>
          <w:lang w:val="en-US"/>
        </w:rPr>
        <w:t>nifH</w:t>
      </w:r>
      <w:r>
        <w:rPr>
          <w:i w:val="false"/>
          <w:iCs w:val="false"/>
          <w:lang w:val="en-US"/>
        </w:rPr>
        <w:t xml:space="preserve"> genes. Individual </w:t>
      </w:r>
      <w:r>
        <w:rPr>
          <w:i/>
          <w:iCs/>
          <w:lang w:val="en-US"/>
        </w:rPr>
        <w:t>Nostoc</w:t>
      </w:r>
      <w:r>
        <w:rPr>
          <w:i w:val="false"/>
          <w:iCs w:val="false"/>
          <w:lang w:val="en-US"/>
        </w:rPr>
        <w:t xml:space="preserve">-like spherical colonies were trapped via suction onto 20 μL pipette tips, washed in sterile water, and placed directly into 50 μL reaction volumes. </w:t>
      </w:r>
    </w:p>
    <w:p>
      <w:pPr>
        <w:pStyle w:val="Normal"/>
        <w:rPr/>
      </w:pPr>
      <w:r>
        <w:rPr/>
      </w:r>
    </w:p>
    <w:p>
      <w:pPr>
        <w:pStyle w:val="Normal"/>
        <w:rPr/>
      </w:pPr>
      <w:r>
        <w:rPr>
          <w:i w:val="false"/>
          <w:iCs w:val="false"/>
          <w:lang w:val="en-US"/>
        </w:rPr>
        <w:t xml:space="preserve">PCR-amplification of </w:t>
      </w:r>
      <w:r>
        <w:rPr>
          <w:i/>
          <w:iCs w:val="false"/>
          <w:lang w:val="en-US"/>
        </w:rPr>
        <w:t>nifH</w:t>
      </w:r>
      <w:r>
        <w:rPr>
          <w:i w:val="false"/>
          <w:iCs w:val="false"/>
          <w:lang w:val="en-US"/>
        </w:rPr>
        <w:t xml:space="preserve"> genes </w:t>
      </w:r>
      <w:r>
        <w:rPr>
          <w:i w:val="false"/>
          <w:iCs w:val="false"/>
          <w:lang w:val="en-US"/>
        </w:rPr>
        <w:t xml:space="preserve">from cultures used CNF/CNR primers (see above). </w:t>
      </w:r>
      <w:r>
        <w:rPr>
          <w:i w:val="false"/>
          <w:iCs w:val="false"/>
          <w:lang w:val="en-US"/>
        </w:rPr>
        <w:t xml:space="preserve">PCR reagents were mixed as follows, per 50 μL reaction: </w:t>
      </w:r>
      <w:r>
        <w:rPr>
          <w:lang w:val="en-US"/>
        </w:rPr>
        <w:t>10 μL NEB Q5® 5</w:t>
      </w:r>
      <w:r>
        <w:rPr>
          <w:rFonts w:eastAsia="Arial" w:cs="Arial"/>
          <w:sz w:val="22"/>
          <w:szCs w:val="22"/>
          <w:lang w:val="en-US"/>
        </w:rPr>
        <w:t xml:space="preserve">× reaction buffer, </w:t>
      </w:r>
      <w:r>
        <w:rPr>
          <w:lang w:val="en-US"/>
        </w:rPr>
        <w:t xml:space="preserve">10 μL NEB Q5® High GC enhancer, 0.5 μL NEB Q5® </w:t>
      </w:r>
      <w:r>
        <w:rPr>
          <w:i w:val="false"/>
          <w:iCs w:val="false"/>
          <w:lang w:val="en-US"/>
        </w:rPr>
        <w:t>HiFi polymerase</w:t>
      </w:r>
      <w:r>
        <w:rPr>
          <w:lang w:val="en-US"/>
        </w:rPr>
        <w:t>, 1.0 μL mixed dNTPs (10 mM), 0.6 μL BSA (20 ng/ μL), 1.2  μL forward and reverse primers each (10 μM), 4 μL of template DNA, and PCR-grade H</w:t>
      </w:r>
      <w:r>
        <w:rPr>
          <w:vertAlign w:val="subscript"/>
          <w:lang w:val="en-US"/>
        </w:rPr>
        <w:t>2</w:t>
      </w:r>
      <w:r>
        <w:rPr>
          <w:lang w:val="en-US"/>
        </w:rPr>
        <w:t xml:space="preserve">O to 50 μL total volume. PCR conditions </w:t>
      </w:r>
      <w:r>
        <w:rPr>
          <w:lang w:val="en-US"/>
        </w:rPr>
        <w:t>for amplification of</w:t>
      </w:r>
      <w:r>
        <w:rPr>
          <w:i/>
          <w:iCs/>
          <w:lang w:val="en-US"/>
        </w:rPr>
        <w:t xml:space="preserve"> nifH</w:t>
      </w:r>
      <w:r>
        <w:rPr>
          <w:i/>
          <w:iCs/>
          <w:lang w:val="en-US"/>
        </w:rPr>
        <w:t xml:space="preserve"> </w:t>
      </w:r>
      <w:r>
        <w:rPr>
          <w:lang w:val="en-US"/>
        </w:rPr>
        <w:t xml:space="preserve">were as follows: initial denaturation at 98ºC for 5 min, followed by 30 cycles of 98ºC denaturing for 15 s, 50ºC annealing for 30 s and 72ºC extension for 30 s, and a final extension </w:t>
      </w:r>
      <w:r>
        <w:rPr/>
        <w:t>of 72ºC for 7 min.</w:t>
      </w:r>
    </w:p>
    <w:p>
      <w:pPr>
        <w:pStyle w:val="Normal"/>
        <w:rPr/>
      </w:pPr>
      <w:r>
        <w:rPr/>
      </w:r>
    </w:p>
    <w:p>
      <w:pPr>
        <w:pStyle w:val="Normal"/>
        <w:rPr/>
      </w:pPr>
      <w:r>
        <w:rPr>
          <w:lang w:val="en-US"/>
        </w:rPr>
        <w:t xml:space="preserve">For  </w:t>
      </w:r>
      <w:r>
        <w:rPr>
          <w:lang w:val="en-US"/>
        </w:rPr>
        <w:t xml:space="preserve">PCR-amplification of </w:t>
      </w:r>
      <w:r>
        <w:rPr>
          <w:lang w:val="en-US"/>
        </w:rPr>
        <w:t xml:space="preserve">16S rRNA </w:t>
      </w:r>
      <w:r>
        <w:rPr>
          <w:lang w:val="en-US"/>
        </w:rPr>
        <w:t>genes from cultures</w:t>
      </w:r>
      <w:r>
        <w:rPr>
          <w:lang w:val="en-US"/>
        </w:rPr>
        <w:t xml:space="preserve">, protocol followed Cuscó et al., (2019), with modifications for the colony-PCR.  Primers 16S-27F (5'-AGRGTTTGATYHTGGCTCAG-3') (Zeng et al. 2013) and 16S-1492R (5'-TACCTTGTTAYGACTT-3') (Klindworth et al., 2013) were used, targeting the majority of the 16s rRNA gene. </w:t>
      </w:r>
      <w:r>
        <w:rPr>
          <w:i w:val="false"/>
          <w:iCs w:val="false"/>
          <w:lang w:val="en-US"/>
        </w:rPr>
        <w:t>PCR reagents were mixed as follows, per 50 μL reaction: 10 μL NEB Q5® 5× reaction buffer, 10 μL NEB Q5® High GC enhancer, 0.5 μL NEB Q5® HiFi polymerase, 1.0 μL mixed dNTPs (10 mM), 0.4 μL BSA (20 ng/μL), 2.5  μL forward and reverse primers each (10 μM), 4 μL of template DNA, and PCR-grade H</w:t>
      </w:r>
      <w:r>
        <w:rPr>
          <w:vertAlign w:val="subscript"/>
          <w:lang w:val="en-US"/>
        </w:rPr>
        <w:t>2</w:t>
      </w:r>
      <w:r>
        <w:rPr>
          <w:lang w:val="en-US"/>
        </w:rPr>
        <w:t xml:space="preserve">O to 50 μL total volume. </w:t>
      </w:r>
      <w:r>
        <w:rPr/>
        <w:t xml:space="preserve">PCR conditions were as follows: denaturation at 98ºC for 4 min amplification, followed by 30 cycles of </w:t>
      </w:r>
      <w:r>
        <w:rPr>
          <w:lang w:val="en-US"/>
        </w:rPr>
        <w:t xml:space="preserve">98ºC for 15 s, 51ºC annealing for 30 s, and 72ºC extension for 1 min, and a final extension of 72ºC for 7 min. </w:t>
      </w:r>
    </w:p>
    <w:p>
      <w:pPr>
        <w:pStyle w:val="Normal"/>
        <w:rPr>
          <w:lang w:val="en-US"/>
        </w:rPr>
      </w:pPr>
      <w:r>
        <w:rPr>
          <w:lang w:val="en-US"/>
        </w:rPr>
      </w:r>
    </w:p>
    <w:p>
      <w:pPr>
        <w:pStyle w:val="Normal"/>
        <w:rPr/>
      </w:pPr>
      <w:r>
        <w:rPr>
          <w:b w:val="false"/>
          <w:bCs w:val="false"/>
          <w:lang w:val="en-US"/>
        </w:rPr>
        <w:t xml:space="preserve">PCR products </w:t>
      </w:r>
      <w:r>
        <w:rPr>
          <w:b w:val="false"/>
          <w:bCs w:val="false"/>
          <w:lang w:val="en-US"/>
        </w:rPr>
        <w:t xml:space="preserve">from both </w:t>
      </w:r>
      <w:r>
        <w:rPr>
          <w:b w:val="false"/>
          <w:bCs w:val="false"/>
          <w:i/>
          <w:iCs/>
          <w:lang w:val="en-US"/>
        </w:rPr>
        <w:t xml:space="preserve">nifH </w:t>
      </w:r>
      <w:r>
        <w:rPr>
          <w:b w:val="false"/>
          <w:bCs w:val="false"/>
          <w:i w:val="false"/>
          <w:iCs w:val="false"/>
          <w:lang w:val="en-US"/>
        </w:rPr>
        <w:t xml:space="preserve">and 16S rRNA amplifications </w:t>
      </w:r>
      <w:r>
        <w:rPr>
          <w:b w:val="false"/>
          <w:bCs w:val="false"/>
          <w:lang w:val="en-US"/>
        </w:rPr>
        <w:t xml:space="preserve">were cleaned using a Nucleospin Gel and PCR cleanup column kit (Macherey-Nagel, </w:t>
      </w:r>
      <w:hyperlink r:id="rId3">
        <w:r>
          <w:rPr>
            <w:rStyle w:val="Hyperlink"/>
            <w:b w:val="false"/>
            <w:bCs w:val="false"/>
            <w:lang w:val="en-US"/>
          </w:rPr>
          <w:t>www.mn-net.com</w:t>
        </w:r>
      </w:hyperlink>
      <w:r>
        <w:rPr>
          <w:b w:val="false"/>
          <w:bCs w:val="false"/>
          <w:lang w:val="en-US"/>
        </w:rPr>
        <w:t>, article-number: 740609.50), with eluted to a 14 μL volume, with final DNA concentrations between 3.8 ng/μL - 40.2 ng/μL.</w:t>
      </w:r>
    </w:p>
    <w:p>
      <w:pPr>
        <w:pStyle w:val="Heading3"/>
        <w:rPr/>
      </w:pPr>
      <w:r>
        <w:rPr>
          <w:lang w:val="en-US"/>
        </w:rPr>
        <w:t xml:space="preserve">Sequencing of </w:t>
      </w:r>
      <w:r>
        <w:rPr>
          <w:i/>
          <w:lang w:val="en-US"/>
        </w:rPr>
        <w:t>nifH</w:t>
      </w:r>
      <w:r>
        <w:rPr>
          <w:lang w:val="en-US"/>
        </w:rPr>
        <w:t xml:space="preserve"> and 16S rRNA genes</w:t>
      </w:r>
    </w:p>
    <w:p>
      <w:pPr>
        <w:pStyle w:val="Normal"/>
        <w:rPr/>
      </w:pPr>
      <w:r>
        <w:rPr>
          <w:b w:val="false"/>
          <w:bCs w:val="false"/>
          <w:lang w:val="en-US"/>
        </w:rPr>
        <w:t xml:space="preserve">Colony-PCR products from </w:t>
      </w:r>
      <w:r>
        <w:rPr>
          <w:b w:val="false"/>
          <w:bCs w:val="false"/>
          <w:i/>
          <w:iCs/>
          <w:lang w:val="en-US"/>
        </w:rPr>
        <w:t>Nostoc</w:t>
      </w:r>
      <w:r>
        <w:rPr>
          <w:b w:val="false"/>
          <w:bCs w:val="false"/>
          <w:lang w:val="en-US"/>
        </w:rPr>
        <w:t xml:space="preserve">-like cultures </w:t>
      </w:r>
      <w:r>
        <w:rPr>
          <w:b w:val="false"/>
          <w:bCs w:val="false"/>
          <w:i w:val="false"/>
          <w:iCs w:val="false"/>
          <w:lang w:val="en-US"/>
        </w:rPr>
        <w:t>were then</w:t>
      </w:r>
      <w:r>
        <w:rPr>
          <w:b w:val="false"/>
          <w:bCs w:val="false"/>
          <w:lang w:val="en-US"/>
        </w:rPr>
        <w:t xml:space="preserve"> prepped according to manufacturer instructions for Nanopore-platform sequencing using either (1) the Oxford Nanopore Technologies (ONT) ligation sequencing kit V14 (SQK-LSK114) or (2) ONT Rapid sequencing V14 -Amplicon sequencing (SQK-RBK114.24), with a R10.4.1 (FLO-MIN114) generation flow cell. SQK-LSK114 kit was used in the case of 16S rRNA gene of </w:t>
      </w:r>
      <w:r>
        <w:rPr>
          <w:b w:val="false"/>
          <w:bCs w:val="false"/>
          <w:i/>
          <w:iCs/>
          <w:lang w:val="en-US"/>
        </w:rPr>
        <w:t>Hylocomium</w:t>
      </w:r>
      <w:r>
        <w:rPr>
          <w:b w:val="false"/>
          <w:bCs w:val="false"/>
          <w:lang w:val="en-US"/>
        </w:rPr>
        <w:t xml:space="preserve">-associated </w:t>
      </w:r>
      <w:r>
        <w:rPr>
          <w:b w:val="false"/>
          <w:bCs w:val="false"/>
          <w:i/>
          <w:iCs/>
          <w:u w:val="none"/>
          <w:lang w:val="en-US"/>
        </w:rPr>
        <w:t>Nostoc</w:t>
      </w:r>
      <w:r>
        <w:rPr>
          <w:b w:val="false"/>
          <w:bCs w:val="false"/>
          <w:i w:val="false"/>
          <w:iCs w:val="false"/>
          <w:u w:val="none"/>
          <w:lang w:val="en-US"/>
        </w:rPr>
        <w:t xml:space="preserve"> </w:t>
      </w:r>
      <w:r>
        <w:rPr>
          <w:b w:val="false"/>
          <w:bCs w:val="false"/>
          <w:i w:val="false"/>
          <w:iCs w:val="false"/>
          <w:u w:val="none"/>
          <w:lang w:val="en-US"/>
        </w:rPr>
        <w:t>from Waldstein, which was sequenced first and separately from later cultures.</w:t>
      </w:r>
      <w:r>
        <w:rPr>
          <w:b w:val="false"/>
          <w:bCs w:val="false"/>
          <w:i w:val="false"/>
          <w:iCs w:val="false"/>
          <w:u w:val="none"/>
          <w:lang w:val="en-US"/>
        </w:rPr>
        <w:t xml:space="preserve"> </w:t>
      </w:r>
      <w:r>
        <w:rPr>
          <w:b w:val="false"/>
          <w:bCs w:val="false"/>
          <w:i w:val="false"/>
          <w:iCs w:val="false"/>
          <w:u w:val="none"/>
          <w:lang w:val="en-US"/>
        </w:rPr>
        <w:t>PCR of</w:t>
      </w:r>
      <w:r>
        <w:rPr>
          <w:b w:val="false"/>
          <w:bCs w:val="false"/>
          <w:i/>
          <w:iCs/>
          <w:u w:val="none"/>
          <w:lang w:val="en-US"/>
        </w:rPr>
        <w:t xml:space="preserve"> nifH</w:t>
      </w:r>
      <w:r>
        <w:rPr>
          <w:b w:val="false"/>
          <w:bCs w:val="false"/>
          <w:i w:val="false"/>
          <w:iCs w:val="false"/>
          <w:u w:val="none"/>
          <w:lang w:val="en-US"/>
        </w:rPr>
        <w:t xml:space="preserve"> gene from</w:t>
      </w:r>
      <w:r>
        <w:rPr>
          <w:b w:val="false"/>
          <w:bCs w:val="false"/>
          <w:i/>
          <w:iCs/>
          <w:u w:val="none"/>
          <w:lang w:val="en-US"/>
        </w:rPr>
        <w:t xml:space="preserve"> Pseudoamblystegium</w:t>
      </w:r>
      <w:r>
        <w:rPr>
          <w:b w:val="false"/>
          <w:bCs w:val="false"/>
          <w:i w:val="false"/>
          <w:iCs w:val="false"/>
          <w:u w:val="none"/>
          <w:lang w:val="en-US"/>
        </w:rPr>
        <w:t xml:space="preserve">-associated </w:t>
      </w:r>
      <w:r>
        <w:rPr>
          <w:b w:val="false"/>
          <w:bCs w:val="false"/>
          <w:i/>
          <w:iCs/>
          <w:u w:val="none"/>
          <w:lang w:val="en-US"/>
        </w:rPr>
        <w:t>Nostoc</w:t>
      </w:r>
      <w:r>
        <w:rPr>
          <w:b w:val="false"/>
          <w:bCs w:val="false"/>
          <w:i w:val="false"/>
          <w:iCs w:val="false"/>
          <w:u w:val="none"/>
          <w:lang w:val="en-US"/>
        </w:rPr>
        <w:t xml:space="preserve">-like organism was not successful. </w:t>
      </w:r>
      <w:r>
        <w:rPr>
          <w:b w:val="false"/>
          <w:bCs w:val="false"/>
          <w:i w:val="false"/>
          <w:iCs w:val="false"/>
          <w:u w:val="none"/>
          <w:lang w:val="en-US"/>
        </w:rPr>
        <w:t>T</w:t>
      </w:r>
      <w:r>
        <w:rPr>
          <w:b w:val="false"/>
          <w:bCs w:val="false"/>
          <w:i w:val="false"/>
          <w:iCs w:val="false"/>
          <w:u w:val="none"/>
          <w:lang w:val="en-US"/>
        </w:rPr>
        <w:t xml:space="preserve">he remaining 6 colony-PCR products </w:t>
      </w:r>
      <w:r>
        <w:rPr>
          <w:b w:val="false"/>
          <w:bCs w:val="false"/>
          <w:i w:val="false"/>
          <w:iCs w:val="false"/>
          <w:u w:val="none"/>
          <w:lang w:val="en-US"/>
        </w:rPr>
        <w:t>to be sequenced</w:t>
      </w:r>
      <w:r>
        <w:rPr>
          <w:b w:val="false"/>
          <w:bCs w:val="false"/>
          <w:i w:val="false"/>
          <w:iCs w:val="false"/>
          <w:u w:val="none"/>
          <w:lang w:val="en-US"/>
        </w:rPr>
        <w:t xml:space="preserve"> </w:t>
      </w:r>
      <w:r>
        <w:rPr>
          <w:b w:val="false"/>
          <w:bCs w:val="false"/>
          <w:i w:val="false"/>
          <w:iCs w:val="false"/>
          <w:u w:val="none"/>
          <w:lang w:val="en-US"/>
        </w:rPr>
        <w:t>consisted</w:t>
      </w:r>
      <w:r>
        <w:rPr>
          <w:b w:val="false"/>
          <w:bCs w:val="false"/>
          <w:i w:val="false"/>
          <w:iCs w:val="false"/>
          <w:u w:val="none"/>
          <w:lang w:val="en-US"/>
        </w:rPr>
        <w:t xml:space="preserve"> </w:t>
      </w:r>
      <w:r>
        <w:rPr>
          <w:b w:val="false"/>
          <w:bCs w:val="false"/>
          <w:i w:val="false"/>
          <w:iCs w:val="false"/>
          <w:u w:val="none"/>
          <w:lang w:val="en-US"/>
        </w:rPr>
        <w:t>of</w:t>
      </w:r>
      <w:r>
        <w:rPr>
          <w:b w:val="false"/>
          <w:bCs w:val="false"/>
          <w:i w:val="false"/>
          <w:iCs w:val="false"/>
          <w:u w:val="none"/>
          <w:lang w:val="en-US"/>
        </w:rPr>
        <w:t xml:space="preserve"> </w:t>
      </w:r>
      <w:r>
        <w:rPr>
          <w:b w:val="false"/>
          <w:bCs w:val="false"/>
          <w:i/>
          <w:iCs/>
          <w:u w:val="none"/>
          <w:lang w:val="en-US"/>
        </w:rPr>
        <w:t xml:space="preserve">nifH </w:t>
      </w:r>
      <w:r>
        <w:rPr>
          <w:b w:val="false"/>
          <w:bCs w:val="false"/>
          <w:i w:val="false"/>
          <w:iCs w:val="false"/>
          <w:u w:val="none"/>
          <w:lang w:val="en-US"/>
        </w:rPr>
        <w:t xml:space="preserve">and 16S rRNA amplicons from </w:t>
      </w:r>
      <w:r>
        <w:rPr>
          <w:b w:val="false"/>
          <w:bCs w:val="false"/>
          <w:i/>
          <w:iCs/>
          <w:u w:val="none"/>
          <w:lang w:val="en-US"/>
        </w:rPr>
        <w:t>Nostoc-</w:t>
      </w:r>
      <w:r>
        <w:rPr>
          <w:b w:val="false"/>
          <w:bCs w:val="false"/>
          <w:i w:val="false"/>
          <w:iCs w:val="false"/>
          <w:u w:val="none"/>
          <w:lang w:val="en-US"/>
        </w:rPr>
        <w:t xml:space="preserve">like organisms successfully cultured from </w:t>
      </w:r>
      <w:r>
        <w:rPr>
          <w:b w:val="false"/>
          <w:bCs w:val="false"/>
          <w:i/>
          <w:iCs/>
          <w:u w:val="none"/>
          <w:lang w:val="en-US"/>
        </w:rPr>
        <w:t>Orthotrichum</w:t>
      </w:r>
      <w:r>
        <w:rPr>
          <w:b w:val="false"/>
          <w:bCs w:val="false"/>
          <w:i w:val="false"/>
          <w:iCs w:val="false"/>
          <w:u w:val="none"/>
          <w:lang w:val="en-US"/>
        </w:rPr>
        <w:t xml:space="preserve">, </w:t>
      </w:r>
      <w:r>
        <w:rPr>
          <w:b w:val="false"/>
          <w:bCs w:val="false"/>
          <w:i/>
          <w:iCs/>
          <w:u w:val="none"/>
          <w:lang w:val="en-US"/>
        </w:rPr>
        <w:t>Zygodon</w:t>
      </w:r>
      <w:r>
        <w:rPr>
          <w:b w:val="false"/>
          <w:bCs w:val="false"/>
          <w:i w:val="false"/>
          <w:iCs w:val="false"/>
          <w:u w:val="none"/>
          <w:lang w:val="en-US"/>
        </w:rPr>
        <w:t xml:space="preserve">, and </w:t>
      </w:r>
      <w:r>
        <w:rPr>
          <w:b w:val="false"/>
          <w:bCs w:val="false"/>
          <w:i/>
          <w:iCs/>
          <w:u w:val="none"/>
          <w:lang w:val="en-US"/>
        </w:rPr>
        <w:t>Homalia</w:t>
      </w:r>
      <w:r>
        <w:rPr>
          <w:b w:val="false"/>
          <w:bCs w:val="false"/>
          <w:i w:val="false"/>
          <w:iCs w:val="false"/>
          <w:u w:val="none"/>
          <w:lang w:val="en-US"/>
        </w:rPr>
        <w:t xml:space="preserve"> mosses, </w:t>
      </w:r>
      <w:r>
        <w:rPr>
          <w:b w:val="false"/>
          <w:bCs w:val="false"/>
          <w:i w:val="false"/>
          <w:iCs w:val="false"/>
          <w:u w:val="none"/>
          <w:lang w:val="en-US"/>
        </w:rPr>
        <w:t xml:space="preserve">and the </w:t>
      </w:r>
      <w:r>
        <w:rPr>
          <w:b w:val="false"/>
          <w:bCs w:val="false"/>
          <w:i/>
          <w:iCs/>
          <w:u w:val="none"/>
          <w:lang w:val="en-US"/>
        </w:rPr>
        <w:t>nifH</w:t>
      </w:r>
      <w:r>
        <w:rPr>
          <w:b w:val="false"/>
          <w:bCs w:val="false"/>
          <w:i w:val="false"/>
          <w:iCs w:val="false"/>
          <w:u w:val="none"/>
          <w:lang w:val="en-US"/>
        </w:rPr>
        <w:t xml:space="preserve"> amplicons from the </w:t>
      </w:r>
      <w:r>
        <w:rPr>
          <w:b w:val="false"/>
          <w:bCs w:val="false"/>
          <w:i/>
          <w:iCs/>
          <w:u w:val="none"/>
          <w:lang w:val="en-US"/>
        </w:rPr>
        <w:t>Hylocomium-</w:t>
      </w:r>
      <w:r>
        <w:rPr>
          <w:b w:val="false"/>
          <w:bCs w:val="false"/>
          <w:i w:val="false"/>
          <w:iCs w:val="false"/>
          <w:u w:val="none"/>
          <w:lang w:val="en-US"/>
        </w:rPr>
        <w:t xml:space="preserve">associated </w:t>
      </w:r>
      <w:r>
        <w:rPr>
          <w:b w:val="false"/>
          <w:bCs w:val="false"/>
          <w:i/>
          <w:iCs/>
          <w:u w:val="none"/>
          <w:lang w:val="en-US"/>
        </w:rPr>
        <w:t>Nostoc-</w:t>
      </w:r>
      <w:r>
        <w:rPr>
          <w:b w:val="false"/>
          <w:bCs w:val="false"/>
          <w:i w:val="false"/>
          <w:iCs w:val="false"/>
          <w:u w:val="none"/>
          <w:lang w:val="en-US"/>
        </w:rPr>
        <w:t>like organism from Waldstein</w:t>
      </w:r>
      <w:r>
        <w:rPr>
          <w:b w:val="false"/>
          <w:bCs w:val="false"/>
          <w:i w:val="false"/>
          <w:iCs w:val="false"/>
          <w:u w:val="none"/>
          <w:lang w:val="en-US"/>
        </w:rPr>
        <w:t xml:space="preserve">. </w:t>
      </w:r>
      <w:r>
        <w:rPr>
          <w:b w:val="false"/>
          <w:bCs w:val="false"/>
          <w:i w:val="false"/>
          <w:iCs w:val="false"/>
          <w:u w:val="none"/>
          <w:lang w:val="en-US"/>
        </w:rPr>
        <w:t xml:space="preserve"> </w:t>
      </w:r>
      <w:r>
        <w:rPr>
          <w:b w:val="false"/>
          <w:bCs w:val="false"/>
          <w:i w:val="false"/>
          <w:iCs w:val="false"/>
          <w:u w:val="none"/>
          <w:lang w:val="en-US"/>
        </w:rPr>
        <w:t xml:space="preserve">These </w:t>
      </w:r>
      <w:r>
        <w:rPr>
          <w:b w:val="false"/>
          <w:bCs w:val="false"/>
          <w:i w:val="false"/>
          <w:iCs w:val="false"/>
          <w:u w:val="none"/>
          <w:lang w:val="en-US"/>
        </w:rPr>
        <w:t xml:space="preserve">were individually barcoded, </w:t>
      </w:r>
      <w:r>
        <w:rPr>
          <w:b w:val="false"/>
          <w:bCs w:val="false"/>
          <w:i w:val="false"/>
          <w:iCs w:val="false"/>
          <w:u w:val="none"/>
          <w:lang w:val="en-US"/>
        </w:rPr>
        <w:t xml:space="preserve">then </w:t>
      </w:r>
      <w:r>
        <w:rPr>
          <w:b w:val="false"/>
          <w:bCs w:val="false"/>
          <w:i w:val="false"/>
          <w:iCs w:val="false"/>
          <w:u w:val="none"/>
          <w:lang w:val="en-US"/>
        </w:rPr>
        <w:t>multiplexed and sequenced jointly using a SQK-RBK114.24 kit. In the first sequencing run, w</w:t>
      </w:r>
      <w:r>
        <w:rPr>
          <w:b w:val="false"/>
          <w:bCs w:val="false"/>
          <w:i w:val="false"/>
          <w:iCs w:val="false"/>
          <w:u w:val="none"/>
          <w:lang w:val="en-US"/>
        </w:rPr>
        <w:t>hich included</w:t>
      </w:r>
      <w:r>
        <w:rPr>
          <w:b w:val="false"/>
          <w:bCs w:val="false"/>
          <w:i w:val="false"/>
          <w:iCs w:val="false"/>
          <w:u w:val="none"/>
          <w:lang w:val="en-US"/>
        </w:rPr>
        <w:t xml:space="preserve"> only </w:t>
      </w:r>
      <w:r>
        <w:rPr>
          <w:b w:val="false"/>
          <w:bCs w:val="false"/>
          <w:i w:val="false"/>
          <w:iCs w:val="false"/>
          <w:u w:val="none"/>
          <w:lang w:val="en-US"/>
        </w:rPr>
        <w:t xml:space="preserve">16s rRNA amplicons from the </w:t>
      </w:r>
      <w:r>
        <w:rPr>
          <w:b w:val="false"/>
          <w:bCs w:val="false"/>
          <w:i w:val="false"/>
          <w:iCs w:val="false"/>
          <w:u w:val="none"/>
          <w:lang w:val="en-US"/>
        </w:rPr>
        <w:t xml:space="preserve"> </w:t>
      </w:r>
      <w:r>
        <w:rPr>
          <w:b w:val="false"/>
          <w:bCs w:val="false"/>
          <w:i/>
          <w:iCs/>
          <w:u w:val="none"/>
          <w:lang w:val="en-US"/>
        </w:rPr>
        <w:t>Hylocomium</w:t>
      </w:r>
      <w:r>
        <w:rPr>
          <w:b w:val="false"/>
          <w:bCs w:val="false"/>
          <w:i w:val="false"/>
          <w:iCs w:val="false"/>
          <w:u w:val="none"/>
          <w:lang w:val="en-US"/>
        </w:rPr>
        <w:t xml:space="preserve">-associated </w:t>
      </w:r>
      <w:r>
        <w:rPr>
          <w:b w:val="false"/>
          <w:bCs w:val="false"/>
          <w:i/>
          <w:iCs/>
          <w:u w:val="none"/>
          <w:lang w:val="en-US"/>
        </w:rPr>
        <w:t>Nostoc-</w:t>
      </w:r>
      <w:r>
        <w:rPr>
          <w:b w:val="false"/>
          <w:bCs w:val="false"/>
          <w:i w:val="false"/>
          <w:iCs w:val="false"/>
          <w:u w:val="none"/>
          <w:lang w:val="en-US"/>
        </w:rPr>
        <w:t>like organism</w:t>
      </w:r>
      <w:r>
        <w:rPr>
          <w:b w:val="false"/>
          <w:bCs w:val="false"/>
          <w:i w:val="false"/>
          <w:iCs w:val="false"/>
          <w:u w:val="none"/>
          <w:lang w:val="en-US"/>
        </w:rPr>
        <w:t xml:space="preserve">, sequencing ran until a depth of ~100,000 reads, with simultaneous fast-model basecalling using Guppy (MinKNOW v23.07.12, Bream v7.7.6, Guppy v7.1.4, MinKNOW Core v5.7.5). In the second, multiplexed sequencing run sequencing was run until total depth of ~38,000 reads, without basecalling, which was conducted separately with Dorado basecalling software (MinKNOW v25.05.12, Bream v8.5.4, Dorado v7.9.8, MinKNOW Core v6.5.13). In both cases default minimum Q-scores of 8 were used to define passing reads. </w:t>
      </w:r>
    </w:p>
    <w:p>
      <w:pPr>
        <w:pStyle w:val="Heading2"/>
        <w:rPr>
          <w:lang w:val="en-US"/>
        </w:rPr>
      </w:pPr>
      <w:r>
        <w:rPr>
          <w:lang w:val="en-US"/>
        </w:rPr>
        <w:t>Bioinformatics</w:t>
      </w:r>
    </w:p>
    <w:p>
      <w:pPr>
        <w:pStyle w:val="Heading4"/>
        <w:rPr>
          <w:lang w:val="en-US"/>
        </w:rPr>
      </w:pPr>
      <w:r>
        <w:rPr>
          <w:lang w:val="en-US"/>
        </w:rPr>
        <w:t>Processing raw reads to consensus sequences</w:t>
      </w:r>
    </w:p>
    <w:p>
      <w:pPr>
        <w:pStyle w:val="Normal"/>
        <w:rPr/>
      </w:pPr>
      <w:r>
        <w:rPr>
          <w:lang w:val="en-US"/>
        </w:rPr>
        <w:t xml:space="preserve">Demultiplexing and trimming of adapters and barcodes of Nanopore reads from colony-PCRs of </w:t>
      </w:r>
      <w:r>
        <w:rPr>
          <w:i/>
          <w:lang w:val="en-US"/>
        </w:rPr>
        <w:t>Nostoc</w:t>
      </w:r>
      <w:r>
        <w:rPr>
          <w:lang w:val="en-US"/>
        </w:rPr>
        <w:t xml:space="preserve">-like cultures was done using the Dorado basecalling softare. Resulting reads were then re-oriented 5’-3’ where necessary, using VSEARCH (Rognes et al., 2016)  v2.30.0, against the Silva 138.2 (Quast et al., 2013)  Genus-level training dataset, formatted for DADA2 software (“silva_nr99_v138.2_toGenus_trainset.fa”, available at </w:t>
      </w:r>
      <w:hyperlink r:id="rId4">
        <w:r>
          <w:rPr>
            <w:rStyle w:val="Hyperlink"/>
            <w:lang w:val="en-US"/>
          </w:rPr>
          <w:t>www.arb-silva.de/current-release/DADA2/1.36.0/SSU</w:t>
        </w:r>
      </w:hyperlink>
      <w:r>
        <w:rPr>
          <w:lang w:val="en-US"/>
        </w:rPr>
        <w:t xml:space="preserve">). Re-orientation of </w:t>
      </w:r>
      <w:r>
        <w:rPr>
          <w:i/>
          <w:lang w:val="en-US"/>
        </w:rPr>
        <w:t>nifH</w:t>
      </w:r>
      <w:r>
        <w:rPr>
          <w:lang w:val="en-US"/>
        </w:rPr>
        <w:t xml:space="preserve"> reads was conducted against the custom </w:t>
      </w:r>
      <w:r>
        <w:rPr>
          <w:i/>
          <w:lang w:val="en-US"/>
        </w:rPr>
        <w:t>nifH</w:t>
      </w:r>
      <w:r>
        <w:rPr>
          <w:lang w:val="en-US"/>
        </w:rPr>
        <w:t xml:space="preserve"> database of </w:t>
      </w:r>
      <w:r>
        <w:rPr>
          <w:i/>
          <w:lang w:val="en-US"/>
        </w:rPr>
        <w:t>nifH</w:t>
      </w:r>
      <w:r>
        <w:rPr>
          <w:lang w:val="en-US"/>
        </w:rPr>
        <w:t xml:space="preserve"> sequences from Kubota et al. (2023). In the case of the sequence library that was basecalled with Dorado, the </w:t>
      </w:r>
      <w:r>
        <w:rPr>
          <w:lang w:val="en-US"/>
        </w:rPr>
        <w:t xml:space="preserve">Dorado </w:t>
      </w:r>
      <w:r>
        <w:rPr>
          <w:lang w:val="en-US"/>
        </w:rPr>
        <w:t xml:space="preserve">command executes includes a default chimera-check/read-splitting step for chimeric reads resulting from Nanopore sequencing error. In either case, PCR-chimeras were screened manually in the alignments discussed below. </w:t>
      </w:r>
    </w:p>
    <w:p>
      <w:pPr>
        <w:pStyle w:val="Normal"/>
        <w:rPr>
          <w:lang w:val="en-US"/>
        </w:rPr>
      </w:pPr>
      <w:r>
        <w:rPr>
          <w:lang w:val="en-US"/>
        </w:rPr>
      </w:r>
    </w:p>
    <w:p>
      <w:pPr>
        <w:pStyle w:val="Normal"/>
        <w:rPr/>
      </w:pPr>
      <w:r>
        <w:rPr>
          <w:rFonts w:ascii="Arial" w:hAnsi="Arial"/>
          <w:lang w:val="en-US"/>
        </w:rPr>
        <w:t>Resulting reads from nanopore sequencing were typically numerous and very noisy, aligning poorly d</w:t>
      </w:r>
      <w:r>
        <w:rPr>
          <w:rFonts w:ascii="Arial" w:hAnsi="Arial"/>
          <w:sz w:val="22"/>
          <w:szCs w:val="22"/>
          <w:lang w:val="en-US"/>
        </w:rPr>
        <w:t xml:space="preserve">ue to numerous erroneous insertions, paralogs, and co-cultured microorganisms. In some cases, BLAST(Basic Local Alignment Search Tool)-family algorithms (Altschul et al., 1990) have been found to perform effectively for aligning reads with common error patterns of long-read metabarcoding data (Tedersoo et al., 2021, 2022). </w:t>
      </w:r>
      <w:r>
        <w:rPr>
          <w:rFonts w:ascii="Arial" w:hAnsi="Arial"/>
          <w:sz w:val="22"/>
          <w:szCs w:val="22"/>
          <w:lang w:val="en-US"/>
        </w:rPr>
        <w:t>Therefore, as a first filtering step before full alignments, we used the BLAST</w:t>
      </w:r>
      <w:r>
        <w:rPr>
          <w:rFonts w:ascii="Arial" w:hAnsi="Arial"/>
          <w:sz w:val="22"/>
          <w:szCs w:val="22"/>
          <w:lang w:val="en-US"/>
        </w:rPr>
        <w:t xml:space="preserve">+ </w:t>
      </w:r>
      <w:r>
        <w:rPr>
          <w:rFonts w:ascii="Arial" w:hAnsi="Arial"/>
          <w:sz w:val="22"/>
          <w:szCs w:val="22"/>
          <w:lang w:val="en-US"/>
        </w:rPr>
        <w:t xml:space="preserve">suite tools, </w:t>
      </w:r>
      <w:r>
        <w:rPr>
          <w:rFonts w:ascii="Arial" w:hAnsi="Arial"/>
          <w:sz w:val="22"/>
          <w:szCs w:val="22"/>
          <w:lang w:val="en-US"/>
        </w:rPr>
        <w:t>version 2.9.0</w:t>
      </w:r>
      <w:r>
        <w:rPr>
          <w:rFonts w:ascii="Arial" w:hAnsi="Arial"/>
          <w:sz w:val="22"/>
          <w:szCs w:val="22"/>
          <w:lang w:val="en-US"/>
        </w:rPr>
        <w:t xml:space="preserve"> </w:t>
      </w:r>
      <w:r>
        <w:rPr>
          <w:rFonts w:ascii="Arial" w:hAnsi="Arial"/>
          <w:sz w:val="22"/>
          <w:szCs w:val="22"/>
          <w:lang w:val="en-US"/>
        </w:rPr>
        <w:t>(Comacho et al., 2009)</w:t>
      </w:r>
      <w:r>
        <w:rPr>
          <w:rFonts w:ascii="Arial" w:hAnsi="Arial"/>
          <w:sz w:val="22"/>
          <w:szCs w:val="22"/>
          <w:lang w:val="en-US"/>
        </w:rPr>
        <w:t xml:space="preserve">, specifically </w:t>
      </w:r>
      <w:r>
        <w:rPr>
          <w:rFonts w:ascii="Arial" w:hAnsi="Arial"/>
          <w:sz w:val="22"/>
          <w:szCs w:val="22"/>
          <w:shd w:fill="C0C0C0" w:val="clear"/>
          <w:lang w:val="en-US"/>
        </w:rPr>
        <w:t>blastn</w:t>
      </w:r>
      <w:r>
        <w:rPr>
          <w:rFonts w:ascii="Arial" w:hAnsi="Arial"/>
          <w:sz w:val="22"/>
          <w:szCs w:val="22"/>
          <w:lang w:val="en-US"/>
        </w:rPr>
        <w:t xml:space="preserve"> </w:t>
      </w:r>
      <w:r>
        <w:rPr>
          <w:rFonts w:ascii="Arial" w:hAnsi="Arial"/>
          <w:sz w:val="22"/>
          <w:szCs w:val="22"/>
          <w:lang w:val="en-US"/>
        </w:rPr>
        <w:t xml:space="preserve">to </w:t>
      </w:r>
      <w:r>
        <w:rPr>
          <w:rFonts w:ascii="Arial" w:hAnsi="Arial"/>
          <w:sz w:val="22"/>
          <w:szCs w:val="22"/>
          <w:lang w:val="en-US"/>
        </w:rPr>
        <w:t>retain only</w:t>
      </w:r>
      <w:r>
        <w:rPr>
          <w:rFonts w:ascii="Arial" w:hAnsi="Arial"/>
          <w:sz w:val="22"/>
          <w:szCs w:val="22"/>
          <w:lang w:val="en-US"/>
        </w:rPr>
        <w:t xml:space="preserve"> high quality matches to </w:t>
      </w:r>
      <w:r>
        <w:rPr>
          <w:rFonts w:ascii="Arial" w:hAnsi="Arial"/>
          <w:sz w:val="22"/>
          <w:szCs w:val="22"/>
          <w:lang w:val="en-US"/>
        </w:rPr>
        <w:t xml:space="preserve">nostocacean </w:t>
      </w:r>
      <w:r>
        <w:rPr>
          <w:rFonts w:ascii="Arial" w:hAnsi="Arial"/>
          <w:sz w:val="22"/>
          <w:szCs w:val="22"/>
          <w:lang w:val="en-US"/>
        </w:rPr>
        <w:t xml:space="preserve">16S sequences from the Silva 138.2 database (see link above), and </w:t>
      </w:r>
      <w:r>
        <w:rPr>
          <w:rFonts w:ascii="Arial" w:hAnsi="Arial"/>
          <w:sz w:val="22"/>
          <w:szCs w:val="22"/>
          <w:shd w:fill="C0C0C0" w:val="clear"/>
          <w:lang w:val="en-US"/>
        </w:rPr>
        <w:t>blast</w:t>
      </w:r>
      <w:r>
        <w:rPr>
          <w:rFonts w:ascii="Arial" w:hAnsi="Arial"/>
          <w:sz w:val="22"/>
          <w:szCs w:val="22"/>
          <w:shd w:fill="C0C0C0" w:val="clear"/>
          <w:lang w:val="en-US"/>
        </w:rPr>
        <w:t>x</w:t>
      </w:r>
      <w:r>
        <w:rPr>
          <w:rFonts w:ascii="Arial" w:hAnsi="Arial"/>
          <w:sz w:val="22"/>
          <w:szCs w:val="22"/>
          <w:lang w:val="en-US"/>
        </w:rPr>
        <w:t xml:space="preserve"> to </w:t>
      </w:r>
      <w:r>
        <w:rPr>
          <w:rFonts w:ascii="Arial" w:hAnsi="Arial"/>
          <w:sz w:val="22"/>
          <w:szCs w:val="22"/>
          <w:lang w:val="en-US"/>
        </w:rPr>
        <w:t>retain</w:t>
      </w:r>
      <w:r>
        <w:rPr>
          <w:rFonts w:ascii="Arial" w:hAnsi="Arial"/>
          <w:sz w:val="22"/>
          <w:szCs w:val="22"/>
          <w:lang w:val="en-US"/>
        </w:rPr>
        <w:t xml:space="preserve"> high quality</w:t>
      </w:r>
      <w:r>
        <w:rPr>
          <w:rFonts w:ascii="Arial" w:hAnsi="Arial"/>
          <w:sz w:val="22"/>
          <w:szCs w:val="22"/>
          <w:lang w:val="en-US"/>
        </w:rPr>
        <w:t xml:space="preserve"> </w:t>
      </w:r>
      <w:r>
        <w:rPr>
          <w:rFonts w:ascii="Arial" w:hAnsi="Arial"/>
          <w:sz w:val="22"/>
          <w:szCs w:val="22"/>
          <w:lang w:val="en-US"/>
        </w:rPr>
        <w:t>matches</w:t>
      </w:r>
      <w:r>
        <w:rPr>
          <w:rFonts w:ascii="Arial" w:hAnsi="Arial"/>
          <w:sz w:val="22"/>
          <w:szCs w:val="22"/>
          <w:lang w:val="en-US"/>
        </w:rPr>
        <w:t xml:space="preserve"> </w:t>
      </w:r>
      <w:r>
        <w:rPr>
          <w:rFonts w:ascii="Arial" w:hAnsi="Arial"/>
          <w:sz w:val="22"/>
          <w:szCs w:val="22"/>
          <w:lang w:val="en-US"/>
        </w:rPr>
        <w:t xml:space="preserve">of our </w:t>
      </w:r>
      <w:r>
        <w:rPr>
          <w:rFonts w:ascii="Arial" w:hAnsi="Arial"/>
          <w:i/>
          <w:iCs/>
          <w:sz w:val="22"/>
          <w:szCs w:val="22"/>
          <w:lang w:val="en-US"/>
        </w:rPr>
        <w:t>nifH</w:t>
      </w:r>
      <w:r>
        <w:rPr>
          <w:rFonts w:ascii="Arial" w:hAnsi="Arial"/>
          <w:sz w:val="22"/>
          <w:szCs w:val="22"/>
          <w:lang w:val="en-US"/>
        </w:rPr>
        <w:t xml:space="preserve"> DNA sequences to</w:t>
      </w:r>
      <w:r>
        <w:rPr>
          <w:rFonts w:ascii="Arial" w:hAnsi="Arial"/>
          <w:sz w:val="22"/>
          <w:szCs w:val="22"/>
          <w:lang w:val="en-US"/>
        </w:rPr>
        <w:t xml:space="preserve"> sequences from </w:t>
      </w:r>
      <w:r>
        <w:rPr>
          <w:rFonts w:ascii="Arial" w:hAnsi="Arial"/>
          <w:sz w:val="22"/>
          <w:szCs w:val="22"/>
          <w:lang w:val="en-US"/>
        </w:rPr>
        <w:t xml:space="preserve">a custom database of </w:t>
      </w:r>
      <w:r>
        <w:rPr>
          <w:rFonts w:ascii="Arial" w:hAnsi="Arial"/>
          <w:sz w:val="22"/>
          <w:szCs w:val="22"/>
          <w:lang w:val="en-US"/>
        </w:rPr>
        <w:t>N</w:t>
      </w:r>
      <w:r>
        <w:rPr>
          <w:rFonts w:ascii="Arial" w:hAnsi="Arial"/>
          <w:sz w:val="22"/>
          <w:szCs w:val="22"/>
          <w:lang w:val="en-US"/>
        </w:rPr>
        <w:t xml:space="preserve">ifH amino acid sequences, </w:t>
      </w:r>
      <w:r>
        <w:rPr>
          <w:rFonts w:ascii="Arial" w:hAnsi="Arial"/>
          <w:sz w:val="22"/>
          <w:szCs w:val="22"/>
          <w:lang w:val="en-US"/>
        </w:rPr>
        <w:t xml:space="preserve">to remove possible </w:t>
      </w:r>
      <w:r>
        <w:rPr>
          <w:rFonts w:ascii="Arial" w:hAnsi="Arial"/>
          <w:i/>
          <w:iCs/>
          <w:sz w:val="22"/>
          <w:szCs w:val="22"/>
          <w:lang w:val="en-US"/>
        </w:rPr>
        <w:t>nifH</w:t>
      </w:r>
      <w:r>
        <w:rPr>
          <w:rFonts w:ascii="Arial" w:hAnsi="Arial"/>
          <w:sz w:val="22"/>
          <w:szCs w:val="22"/>
          <w:lang w:val="en-US"/>
        </w:rPr>
        <w:t xml:space="preserve"> homologs</w:t>
      </w:r>
      <w:r>
        <w:rPr>
          <w:rFonts w:ascii="Arial" w:hAnsi="Arial"/>
          <w:sz w:val="22"/>
          <w:szCs w:val="22"/>
          <w:lang w:val="en-US"/>
        </w:rPr>
        <w:t xml:space="preserve">. </w:t>
      </w:r>
      <w:r>
        <w:rPr>
          <w:rFonts w:ascii="Arial" w:hAnsi="Arial"/>
          <w:sz w:val="22"/>
          <w:szCs w:val="22"/>
          <w:lang w:val="en-US"/>
        </w:rPr>
        <w:t xml:space="preserve">Following Hu, Wang, et al. (2024), our custom database of </w:t>
      </w:r>
      <w:r>
        <w:rPr>
          <w:rFonts w:ascii="Arial" w:hAnsi="Arial"/>
          <w:i w:val="false"/>
          <w:iCs w:val="false"/>
          <w:sz w:val="22"/>
          <w:szCs w:val="22"/>
          <w:lang w:val="en-US"/>
        </w:rPr>
        <w:t>N</w:t>
      </w:r>
      <w:r>
        <w:rPr>
          <w:rFonts w:ascii="Arial" w:hAnsi="Arial"/>
          <w:i w:val="false"/>
          <w:iCs w:val="false"/>
          <w:sz w:val="22"/>
          <w:szCs w:val="22"/>
          <w:lang w:val="en-US"/>
        </w:rPr>
        <w:t>ifH</w:t>
      </w:r>
      <w:r>
        <w:rPr>
          <w:rFonts w:ascii="Arial" w:hAnsi="Arial"/>
          <w:sz w:val="22"/>
          <w:szCs w:val="22"/>
          <w:lang w:val="en-US"/>
        </w:rPr>
        <w:t xml:space="preserve"> sequences was a concatenation of </w:t>
      </w:r>
      <w:r>
        <w:rPr>
          <w:rFonts w:ascii="Arial" w:hAnsi="Arial"/>
          <w:i w:val="false"/>
          <w:iCs w:val="false"/>
          <w:sz w:val="22"/>
          <w:szCs w:val="22"/>
          <w:lang w:val="en-US"/>
        </w:rPr>
        <w:t>N</w:t>
      </w:r>
      <w:r>
        <w:rPr>
          <w:rFonts w:ascii="Arial" w:hAnsi="Arial"/>
          <w:i w:val="false"/>
          <w:iCs w:val="false"/>
          <w:sz w:val="22"/>
          <w:szCs w:val="22"/>
          <w:lang w:val="en-US"/>
        </w:rPr>
        <w:t>ifH</w:t>
      </w:r>
      <w:r>
        <w:rPr>
          <w:rFonts w:ascii="Arial" w:hAnsi="Arial"/>
          <w:sz w:val="22"/>
          <w:szCs w:val="22"/>
          <w:lang w:val="en-US"/>
        </w:rPr>
        <w:t xml:space="preserve"> sequences from (1) 963 culture-derived genomes (Koirala and Brözel, 2021), the Greening lab </w:t>
      </w:r>
      <w:r>
        <w:rPr>
          <w:rFonts w:ascii="Arial" w:hAnsi="Arial"/>
          <w:i w:val="false"/>
          <w:iCs w:val="false"/>
          <w:sz w:val="22"/>
          <w:szCs w:val="22"/>
          <w:lang w:val="en-US"/>
        </w:rPr>
        <w:t>N</w:t>
      </w:r>
      <w:r>
        <w:rPr>
          <w:rFonts w:ascii="Arial" w:hAnsi="Arial"/>
          <w:i w:val="false"/>
          <w:iCs w:val="false"/>
          <w:sz w:val="22"/>
          <w:szCs w:val="22"/>
          <w:lang w:val="en-US"/>
        </w:rPr>
        <w:t>ifH</w:t>
      </w:r>
      <w:r>
        <w:rPr>
          <w:rFonts w:ascii="Arial" w:hAnsi="Arial"/>
          <w:sz w:val="22"/>
          <w:szCs w:val="22"/>
          <w:lang w:val="en-US"/>
        </w:rPr>
        <w:t xml:space="preserve"> database</w:t>
      </w:r>
      <w:r>
        <w:rPr>
          <w:rFonts w:ascii="Arial" w:hAnsi="Arial"/>
          <w:lang w:val="en-US"/>
        </w:rPr>
        <w:t xml:space="preserve"> (https://doi.org/10.26180/c.5230745) and the NIFtHool database (Suquilanda-Pesántez et al., 2022). Following this filtering step, reads were aligned d</w:t>
      </w:r>
      <w:r>
        <w:rPr>
          <w:lang w:val="en-US"/>
        </w:rPr>
        <w:t xml:space="preserve">e novo using MUSCLE 5.1 with default settings (Edgar, 2022). Vertical gaps were removed using CIAlign </w:t>
      </w:r>
      <w:r>
        <w:rPr>
          <w:lang w:val="en-US"/>
        </w:rPr>
        <w:t xml:space="preserve">v1.1.4 </w:t>
      </w:r>
      <w:r>
        <w:rPr>
          <w:lang w:val="en-US"/>
        </w:rPr>
        <w:t xml:space="preserve">(Tumescheit et al., 2022), using a insertion minimum percentage of 70%, of all gap sizes (insertion minimum size &gt; 0, insertion minimum flank size &gt; 0). At this stage, further screening for chimeric reads was conducted: over-length reads were discarded, and remaining possible chimeras were discovered via hand-curation of the alignments. </w:t>
      </w:r>
    </w:p>
    <w:p>
      <w:pPr>
        <w:pStyle w:val="Normal"/>
        <w:rPr>
          <w:lang w:val="en-US"/>
        </w:rPr>
      </w:pPr>
      <w:r>
        <w:rPr>
          <w:lang w:val="en-US"/>
        </w:rPr>
      </w:r>
    </w:p>
    <w:p>
      <w:pPr>
        <w:pStyle w:val="Normal"/>
        <w:rPr/>
      </w:pPr>
      <w:r>
        <w:rPr>
          <w:lang w:val="en-US"/>
        </w:rPr>
        <w:t xml:space="preserve">Both 16S (Sun et al., 2013) and </w:t>
      </w:r>
      <w:r>
        <w:rPr>
          <w:i/>
          <w:lang w:val="en-US"/>
        </w:rPr>
        <w:t>nifH</w:t>
      </w:r>
      <w:r>
        <w:rPr>
          <w:lang w:val="en-US"/>
        </w:rPr>
        <w:t xml:space="preserve"> (Thiel, 1993; Thiel et al., 1995) can be present in multiple unique copies within a single organism. To detect this possible paralogous, intra-genomic variation, trees of full alignments of amplicon sequences were constructed using FastTree 2.2 with default settings (Price et al., 2010), and visualized with ARB 7.0 (Ludwig et al., 2004). Three reference sequences of nifH </w:t>
      </w:r>
      <w:r>
        <w:rPr>
          <w:lang w:val="en-US"/>
        </w:rPr>
        <w:t xml:space="preserve">were </w:t>
      </w:r>
      <w:r>
        <w:rPr>
          <w:lang w:val="en-US"/>
        </w:rPr>
        <w:t xml:space="preserve">extracted from the genome of </w:t>
      </w:r>
      <w:r>
        <w:rPr>
          <w:i/>
          <w:iCs/>
          <w:lang w:val="en-US"/>
        </w:rPr>
        <w:t>Nostoc</w:t>
      </w:r>
      <w:r>
        <w:rPr>
          <w:lang w:val="en-US"/>
        </w:rPr>
        <w:t xml:space="preserve"> </w:t>
      </w:r>
      <w:r>
        <w:rPr>
          <w:i/>
          <w:iCs/>
          <w:lang w:val="en-US"/>
        </w:rPr>
        <w:t>punctiforme</w:t>
      </w:r>
      <w:r>
        <w:rPr>
          <w:lang w:val="en-US"/>
        </w:rPr>
        <w:t xml:space="preserve"> PCC 73102 / ATCC 29133 (NCBI Reference Sequence NC_010628.1) and included in this alignment. These reference </w:t>
      </w:r>
      <w:r>
        <w:rPr>
          <w:i/>
          <w:iCs/>
          <w:lang w:val="en-US"/>
        </w:rPr>
        <w:t>nifH</w:t>
      </w:r>
      <w:r>
        <w:rPr>
          <w:lang w:val="en-US"/>
        </w:rPr>
        <w:t xml:space="preserve"> proteins are annotated/positioned in the genome as follows: WP_012407220.1 (position 512909-513802), WP_012407784.1 (position 1229540-1230433),  WP_012412139.1 (position 7297077-7298042). Unrooted trees were searched for obviously separate clades (example shown in Supp. Fig. </w:t>
      </w:r>
      <w:r>
        <w:rPr>
          <w:lang w:val="en-US"/>
        </w:rPr>
        <w:t>___</w:t>
      </w:r>
      <w:r>
        <w:rPr>
          <w:lang w:val="en-US"/>
        </w:rPr>
        <w:t>1</w:t>
      </w:r>
      <w:r>
        <w:rPr>
          <w:lang w:val="en-US"/>
        </w:rPr>
        <w:t>____</w:t>
      </w:r>
      <w:r>
        <w:rPr>
          <w:lang w:val="en-US"/>
        </w:rPr>
        <w:t xml:space="preserve">). If present, these reads from these subtrees were again aligned individually using MUSCLE, and manually curated for removal of poorly aligned sequences and ends. If obviously separate clades were not present in the phylogenetic tree, the full alignment of 16s or </w:t>
      </w:r>
      <w:r>
        <w:rPr>
          <w:i/>
          <w:lang w:val="en-US"/>
        </w:rPr>
        <w:t>nifH</w:t>
      </w:r>
      <w:r>
        <w:rPr>
          <w:lang w:val="en-US"/>
        </w:rPr>
        <w:t xml:space="preserve"> was assumed to represent a single representative gene sequence for that organism. In either case, consensus sequences were generated using Hidden Markov models (HMM) from each (sub)alignment, using the </w:t>
      </w:r>
      <w:r>
        <w:rPr>
          <w:shd w:fill="C0C0C0" w:val="clear"/>
          <w:lang w:val="en-US"/>
        </w:rPr>
        <w:t>hmmbuild</w:t>
      </w:r>
      <w:r>
        <w:rPr>
          <w:lang w:val="en-US"/>
        </w:rPr>
        <w:t xml:space="preserve"> and </w:t>
      </w:r>
      <w:r>
        <w:rPr>
          <w:shd w:fill="C0C0C0" w:val="clear"/>
          <w:lang w:val="en-US"/>
        </w:rPr>
        <w:t>hmmemit</w:t>
      </w:r>
      <w:r>
        <w:rPr>
          <w:lang w:val="en-US"/>
        </w:rPr>
        <w:t xml:space="preserve"> commands, from the HMMER v3.3 package (Eddy, 2011), using simple majority-rule decision for consensus-sequence bp calls. Since </w:t>
      </w:r>
      <w:r>
        <w:rPr>
          <w:i/>
          <w:lang w:val="en-US"/>
        </w:rPr>
        <w:t>nifH</w:t>
      </w:r>
      <w:r>
        <w:rPr>
          <w:lang w:val="en-US"/>
        </w:rPr>
        <w:t xml:space="preserve"> Nanopore sequences were not preliminarily taxonomically filtered to </w:t>
      </w:r>
      <w:r>
        <w:rPr>
          <w:i/>
          <w:lang w:val="en-US"/>
        </w:rPr>
        <w:t>Nostoc</w:t>
      </w:r>
      <w:r>
        <w:rPr>
          <w:lang w:val="en-US"/>
        </w:rPr>
        <w:t xml:space="preserve">, unlike 16S (see above), resulting </w:t>
      </w:r>
      <w:r>
        <w:rPr>
          <w:i/>
          <w:lang w:val="en-US"/>
        </w:rPr>
        <w:t>nifH</w:t>
      </w:r>
      <w:r>
        <w:rPr>
          <w:lang w:val="en-US"/>
        </w:rPr>
        <w:t xml:space="preserve"> consensus nucleotide sequences were at this point searched against the full NCBI Core nucleotide BLAST database (</w:t>
      </w:r>
      <w:hyperlink r:id="rId5">
        <w:r>
          <w:rPr>
            <w:rStyle w:val="Hyperlink"/>
            <w:lang w:val="en-US"/>
          </w:rPr>
          <w:t>blast.ncbi.nlm.nih.gov</w:t>
        </w:r>
      </w:hyperlink>
      <w:r>
        <w:rPr>
          <w:lang w:val="en-US"/>
        </w:rPr>
        <w:t xml:space="preserve">), for highly similar matches using the online </w:t>
      </w:r>
      <w:r>
        <w:rPr>
          <w:shd w:fill="C0C0C0" w:val="clear"/>
          <w:lang w:val="en-US"/>
        </w:rPr>
        <w:t>blastn</w:t>
      </w:r>
      <w:r>
        <w:rPr>
          <w:lang w:val="en-US"/>
        </w:rPr>
        <w:t xml:space="preserve"> graphical user interface, to confirm likely </w:t>
      </w:r>
      <w:r>
        <w:rPr>
          <w:i w:val="false"/>
          <w:iCs w:val="false"/>
          <w:lang w:val="en-US"/>
        </w:rPr>
        <w:t>Nostocaceae</w:t>
      </w:r>
      <w:r>
        <w:rPr>
          <w:lang w:val="en-US"/>
        </w:rPr>
        <w:t xml:space="preserve"> origin.</w:t>
      </w:r>
    </w:p>
    <w:p>
      <w:pPr>
        <w:pStyle w:val="Heading4"/>
        <w:rPr/>
      </w:pPr>
      <w:r>
        <w:rPr>
          <w:i/>
          <w:lang w:val="en-US"/>
        </w:rPr>
        <w:t>nifH</w:t>
      </w:r>
      <w:r>
        <w:rPr>
          <w:lang w:val="en-US"/>
        </w:rPr>
        <w:t xml:space="preserve"> phylogeny</w:t>
      </w:r>
    </w:p>
    <w:p>
      <w:pPr>
        <w:pStyle w:val="Normal"/>
        <w:rPr/>
      </w:pPr>
      <w:r>
        <w:rPr>
          <w:lang w:val="en-US"/>
        </w:rPr>
        <w:t xml:space="preserve">Our </w:t>
      </w:r>
      <w:r>
        <w:rPr>
          <w:i/>
          <w:lang w:val="en-US"/>
        </w:rPr>
        <w:t>nifH</w:t>
      </w:r>
      <w:r>
        <w:rPr>
          <w:lang w:val="en-US"/>
        </w:rPr>
        <w:t xml:space="preserve"> phylogenetic analysis was intended to follow - and build upon - Ininbergs et al. (2011) and Kubota et al. (2023). All pertinent </w:t>
      </w:r>
      <w:r>
        <w:rPr>
          <w:i/>
          <w:lang w:val="en-US"/>
        </w:rPr>
        <w:t>nifH</w:t>
      </w:r>
      <w:r>
        <w:rPr>
          <w:lang w:val="en-US"/>
        </w:rPr>
        <w:t xml:space="preserve"> sequences from both studies were provided by authors (Masayuki Kubota, pers. comm.), combined with </w:t>
      </w:r>
      <w:r>
        <w:rPr>
          <w:i/>
          <w:lang w:val="en-US"/>
        </w:rPr>
        <w:t>nifH</w:t>
      </w:r>
      <w:r>
        <w:rPr>
          <w:lang w:val="en-US"/>
        </w:rPr>
        <w:t xml:space="preserve"> consensus sequences from our cultures. Alignment was conducted using Muscle v5.1 with default settings, and tree was constructed using FastTree2 using default settings.</w:t>
      </w:r>
    </w:p>
    <w:p>
      <w:pPr>
        <w:pStyle w:val="Heading4"/>
        <w:rPr/>
      </w:pPr>
      <w:r>
        <w:rPr>
          <w:lang w:val="en-US"/>
        </w:rPr>
        <w:t xml:space="preserve">16S </w:t>
      </w:r>
      <w:r>
        <w:rPr>
          <w:i/>
          <w:lang w:val="en-US"/>
        </w:rPr>
        <w:t>Nostoc</w:t>
      </w:r>
      <w:r>
        <w:rPr>
          <w:lang w:val="en-US"/>
        </w:rPr>
        <w:t>aceae phylogeny</w:t>
      </w:r>
    </w:p>
    <w:p>
      <w:pPr>
        <w:pStyle w:val="Normal"/>
        <w:spacing w:before="0" w:after="240"/>
        <w:rPr/>
      </w:pPr>
      <w:r>
        <w:rPr>
          <w:lang w:val="en-US"/>
        </w:rPr>
        <w:t xml:space="preserve">For taxonomic identification of full-length 16S consensus sequences from cultured </w:t>
      </w:r>
      <w:r>
        <w:rPr>
          <w:i/>
          <w:iCs/>
          <w:lang w:val="en-US"/>
        </w:rPr>
        <w:t>Nostoc</w:t>
      </w:r>
      <w:r>
        <w:rPr>
          <w:i w:val="false"/>
          <w:iCs w:val="false"/>
          <w:lang w:val="en-US"/>
        </w:rPr>
        <w:t xml:space="preserve">-like organisms, a de novo phylenogenetic tree of full-length 16S sequences for </w:t>
      </w:r>
      <w:r>
        <w:rPr>
          <w:i/>
          <w:iCs w:val="false"/>
          <w:lang w:val="en-US"/>
        </w:rPr>
        <w:t>Nostoc</w:t>
      </w:r>
      <w:r>
        <w:rPr>
          <w:i w:val="false"/>
          <w:iCs w:val="false"/>
          <w:lang w:val="en-US"/>
        </w:rPr>
        <w:t>aceae was constructed. The full Cyanoseq (Lefler et al., 2023) v1.2 phylogenetic tree (</w:t>
      </w:r>
      <w:hyperlink r:id="rId6">
        <w:r>
          <w:rPr>
            <w:rStyle w:val="Hyperlink"/>
            <w:i w:val="false"/>
            <w:iCs w:val="false"/>
            <w:lang w:val="en-US"/>
          </w:rPr>
          <w:t>https://zenodo.org/records/7864137</w:t>
        </w:r>
      </w:hyperlink>
      <w:r>
        <w:rPr>
          <w:i w:val="false"/>
          <w:iCs w:val="false"/>
          <w:lang w:val="en-US"/>
        </w:rPr>
        <w:t xml:space="preserve">) was visualized in ARB v7.0, and sequences of all members of </w:t>
      </w:r>
      <w:r>
        <w:rPr>
          <w:i/>
          <w:iCs w:val="false"/>
          <w:lang w:val="en-US"/>
        </w:rPr>
        <w:t>Nostoc</w:t>
      </w:r>
      <w:r>
        <w:rPr>
          <w:i w:val="false"/>
          <w:iCs w:val="false"/>
          <w:lang w:val="en-US"/>
        </w:rPr>
        <w:t xml:space="preserve">aceae were selected, including sequences from closely allied clades Tolypotrichaceae, Aphanizomenaceae, and Nodulariaceae (Strunecký et al., 2023).  Additionally, 708 sequences of full or near-full length 16S from NCBI genbank that were identified as high-quality </w:t>
      </w:r>
      <w:r>
        <w:rPr>
          <w:i/>
          <w:iCs/>
          <w:lang w:val="en-US"/>
        </w:rPr>
        <w:t xml:space="preserve">Nostoc </w:t>
      </w:r>
      <w:r>
        <w:rPr>
          <w:i w:val="false"/>
          <w:iCs w:val="false"/>
          <w:lang w:val="en-US"/>
        </w:rPr>
        <w:t xml:space="preserve">sequences by Cyanoseq v1.3  were provided by the authors for use in our 16S tree (Forrest Lefler, pers. comm; full cyanobacterial dataset available at </w:t>
      </w:r>
      <w:hyperlink r:id="rId7">
        <w:r>
          <w:rPr>
            <w:rStyle w:val="Hyperlink"/>
            <w:i w:val="false"/>
            <w:iCs w:val="false"/>
            <w:lang w:val="en-US"/>
          </w:rPr>
          <w:t>https://zenodo.org/records/13910424</w:t>
        </w:r>
      </w:hyperlink>
      <w:r>
        <w:rPr>
          <w:i w:val="false"/>
          <w:iCs w:val="false"/>
          <w:lang w:val="en-US"/>
        </w:rPr>
        <w:t xml:space="preserve">), along with several of 16S reference sequences of interest: </w:t>
      </w:r>
      <w:r>
        <w:rPr>
          <w:i/>
          <w:iCs/>
          <w:lang w:val="en-US"/>
        </w:rPr>
        <w:t xml:space="preserve">Trichormus </w:t>
      </w:r>
      <w:r>
        <w:rPr>
          <w:i/>
          <w:iCs/>
          <w:lang w:val="en-US"/>
        </w:rPr>
        <w:t xml:space="preserve">azollae </w:t>
      </w:r>
      <w:r>
        <w:rPr>
          <w:i w:val="false"/>
          <w:iCs w:val="false"/>
          <w:lang w:val="en-US"/>
        </w:rPr>
        <w:t xml:space="preserve">(NC_014248.1, </w:t>
      </w:r>
      <w:r>
        <w:rPr>
          <w:i w:val="false"/>
          <w:iCs w:val="false"/>
          <w:lang w:val="en-US"/>
        </w:rPr>
        <w:t xml:space="preserve">syn. </w:t>
      </w:r>
      <w:r>
        <w:rPr>
          <w:i/>
          <w:iCs/>
          <w:lang w:val="en-US"/>
        </w:rPr>
        <w:t>Nostoc azollae</w:t>
      </w:r>
      <w:r>
        <w:rPr>
          <w:i w:val="false"/>
          <w:iCs w:val="false"/>
          <w:lang w:val="en-US"/>
        </w:rPr>
        <w:t>)</w:t>
      </w:r>
      <w:r>
        <w:rPr>
          <w:i/>
          <w:iCs/>
          <w:lang w:val="en-US"/>
        </w:rPr>
        <w:t xml:space="preserve"> </w:t>
      </w:r>
      <w:r>
        <w:rPr>
          <w:i w:val="false"/>
          <w:iCs w:val="false"/>
          <w:lang w:val="en-US"/>
        </w:rPr>
        <w:t xml:space="preserve">(Ran et al., 2010), </w:t>
      </w:r>
      <w:r>
        <w:rPr>
          <w:rFonts w:eastAsia="Arial" w:cs="Arial"/>
          <w:i/>
          <w:iCs/>
          <w:sz w:val="22"/>
          <w:szCs w:val="22"/>
          <w:lang w:val="en-US"/>
        </w:rPr>
        <w:t>Nostoc calcicola</w:t>
      </w:r>
      <w:r>
        <w:rPr>
          <w:rFonts w:eastAsia="Arial" w:cs="Arial"/>
          <w:sz w:val="22"/>
          <w:szCs w:val="22"/>
          <w:lang w:val="en-US"/>
        </w:rPr>
        <w:t xml:space="preserve"> SAG 1453-1 (KM019926) and </w:t>
      </w:r>
      <w:r>
        <w:rPr>
          <w:rFonts w:eastAsia="Arial" w:cs="Arial"/>
          <w:i/>
          <w:iCs/>
          <w:sz w:val="22"/>
          <w:szCs w:val="22"/>
          <w:lang w:val="en-US"/>
        </w:rPr>
        <w:t>Nostoc insulare</w:t>
      </w:r>
      <w:r>
        <w:rPr>
          <w:rFonts w:eastAsia="Arial" w:cs="Arial"/>
          <w:sz w:val="22"/>
          <w:szCs w:val="22"/>
          <w:lang w:val="en-US"/>
        </w:rPr>
        <w:t xml:space="preserve"> SAG 54.79 (KM019927). Full 16S sequence of </w:t>
      </w:r>
      <w:r>
        <w:rPr>
          <w:i/>
          <w:iCs/>
          <w:lang w:val="en-US"/>
        </w:rPr>
        <w:t>T</w:t>
      </w:r>
      <w:r>
        <w:rPr>
          <w:i/>
          <w:iCs/>
          <w:lang w:val="en-US"/>
        </w:rPr>
        <w:t>. azolla</w:t>
      </w:r>
      <w:r>
        <w:rPr>
          <w:i w:val="false"/>
          <w:iCs w:val="false"/>
          <w:lang w:val="en-US"/>
        </w:rPr>
        <w:t>e was not available as a stand-alone NCBI nucleotide accession, so 16S copies were extracted from reference genome with barrnap (</w:t>
      </w:r>
      <w:hyperlink r:id="rId8">
        <w:r>
          <w:rPr>
            <w:rStyle w:val="Hyperlink"/>
            <w:rFonts w:eastAsia="Arial" w:cs="Arial"/>
            <w:sz w:val="22"/>
            <w:szCs w:val="22"/>
            <w:lang w:val="en-US"/>
          </w:rPr>
          <w:t>https://github.com/tseemann/barrnap</w:t>
        </w:r>
      </w:hyperlink>
      <w:r>
        <w:rPr>
          <w:rFonts w:eastAsia="Arial" w:cs="Arial"/>
          <w:sz w:val="22"/>
          <w:szCs w:val="22"/>
          <w:lang w:val="en-US"/>
        </w:rPr>
        <w:t xml:space="preserve">). </w:t>
      </w:r>
      <w:r>
        <w:rPr>
          <w:rFonts w:eastAsia="Arial" w:cs="Arial"/>
          <w:i/>
          <w:iCs/>
          <w:sz w:val="22"/>
          <w:szCs w:val="22"/>
          <w:lang w:val="en-US"/>
        </w:rPr>
        <w:t xml:space="preserve">Scytonema pachmarhiense </w:t>
      </w:r>
      <w:r>
        <w:rPr>
          <w:rFonts w:eastAsia="Arial" w:cs="Arial"/>
          <w:i w:val="false"/>
          <w:iCs w:val="false"/>
          <w:sz w:val="22"/>
          <w:szCs w:val="22"/>
          <w:lang w:val="en-US"/>
        </w:rPr>
        <w:t xml:space="preserve">(MH260366) was added as an outgroup for rooting of phylogenetic trees. In total, 856 sequences were included in our </w:t>
      </w:r>
      <w:r>
        <w:rPr>
          <w:rFonts w:eastAsia="Arial" w:cs="Arial"/>
          <w:i/>
          <w:iCs w:val="false"/>
          <w:sz w:val="22"/>
          <w:szCs w:val="22"/>
          <w:lang w:val="en-US"/>
        </w:rPr>
        <w:t>Nostoc</w:t>
      </w:r>
      <w:r>
        <w:rPr>
          <w:rFonts w:eastAsia="Arial" w:cs="Arial"/>
          <w:i w:val="false"/>
          <w:iCs w:val="false"/>
          <w:sz w:val="22"/>
          <w:szCs w:val="22"/>
          <w:lang w:val="en-US"/>
        </w:rPr>
        <w:t xml:space="preserve">aceae tree. Reads were aligned using SSU-align v0.1.1 (Nawrocki, 2009), using default Bacterial models. Tree was constructed using FastTree2. Full alignment FASTA and tree Newick files are available in supplementary materials. Tree topology was visualized with ARB 7.0, and final cosmetic additions to tree labels and highlighting of taxa of interest were done using Inkscape v1.3.2 for GNU linux. </w:t>
      </w:r>
    </w:p>
    <w:p>
      <w:pPr>
        <w:pStyle w:val="Heading1"/>
        <w:rPr/>
      </w:pPr>
      <w:bookmarkStart w:id="9" w:name="_rco37534owlm"/>
      <w:bookmarkEnd w:id="9"/>
      <w:r>
        <w:rPr/>
        <w:t>Results</w:t>
      </w:r>
    </w:p>
    <w:p>
      <w:pPr>
        <w:pStyle w:val="Heading3"/>
        <w:rPr/>
      </w:pPr>
      <w:r>
        <w:rPr/>
        <w:t>Microscopy</w:t>
      </w:r>
    </w:p>
    <w:p>
      <w:pPr>
        <w:pStyle w:val="Normal"/>
        <w:rPr/>
      </w:pPr>
      <w:r>
        <w:rPr>
          <w:i/>
          <w:iCs/>
          <w:lang w:val="en-US"/>
        </w:rPr>
        <w:t>Nostoc</w:t>
      </w:r>
      <w:r>
        <w:rPr>
          <w:lang w:val="en-US"/>
        </w:rPr>
        <w:t>-like organisms were observed in 5 moss species, from 4 sites (Figures 2-6):</w:t>
      </w:r>
    </w:p>
    <w:p>
      <w:pPr>
        <w:pStyle w:val="Normal"/>
        <w:rPr/>
      </w:pPr>
      <w:r>
        <w:rPr>
          <w:i/>
          <w:iCs/>
        </w:rPr>
        <w:t>Orthotrichum lyelli</w:t>
      </w:r>
      <w:r>
        <w:rPr>
          <w:i w:val="false"/>
          <w:iCs w:val="false"/>
        </w:rPr>
        <w:t xml:space="preserve"> from Northern Fraconianjura near Neustädtlein</w:t>
      </w:r>
      <w:r>
        <w:rPr>
          <w:i/>
          <w:iCs/>
          <w:lang w:val="en-US"/>
        </w:rPr>
        <w:t xml:space="preserve">, Hylocomium splendens </w:t>
      </w:r>
      <w:r>
        <w:rPr>
          <w:i w:val="false"/>
          <w:iCs w:val="false"/>
          <w:lang w:val="en-US"/>
        </w:rPr>
        <w:t>from Waldstein</w:t>
      </w:r>
      <w:r>
        <w:rPr>
          <w:i/>
          <w:iCs/>
          <w:lang w:val="en-US"/>
        </w:rPr>
        <w:t>, Zygodon</w:t>
      </w:r>
      <w:r>
        <w:rPr>
          <w:i/>
          <w:iCs w:val="false"/>
          <w:lang w:val="en-US"/>
        </w:rPr>
        <w:t xml:space="preserve"> </w:t>
      </w:r>
      <w:r>
        <w:rPr>
          <w:i/>
          <w:iCs/>
          <w:lang w:val="en-US"/>
        </w:rPr>
        <w:t xml:space="preserve">dentatus </w:t>
      </w:r>
      <w:r>
        <w:rPr>
          <w:i w:val="false"/>
          <w:iCs w:val="false"/>
          <w:lang w:val="en-US"/>
        </w:rPr>
        <w:t xml:space="preserve">and </w:t>
      </w:r>
      <w:r>
        <w:rPr>
          <w:i/>
          <w:iCs/>
          <w:lang w:val="en-US"/>
        </w:rPr>
        <w:t>Pseudoambly</w:t>
      </w:r>
      <w:r>
        <w:rPr>
          <w:i/>
          <w:iCs/>
        </w:rPr>
        <w:t>stegium subtile</w:t>
      </w:r>
      <w:r>
        <w:rPr>
          <w:i w:val="false"/>
          <w:iCs w:val="false"/>
          <w:lang w:val="en-US"/>
        </w:rPr>
        <w:t xml:space="preserve"> from Pfaffenberg near Mettendorf, and </w:t>
      </w:r>
      <w:r>
        <w:rPr>
          <w:i/>
          <w:iCs/>
          <w:lang w:val="en-US"/>
        </w:rPr>
        <w:t>Homalia trichomanoides</w:t>
      </w:r>
      <w:r>
        <w:rPr>
          <w:i w:val="false"/>
          <w:iCs w:val="false"/>
          <w:lang w:val="en-US"/>
        </w:rPr>
        <w:t xml:space="preserve"> from Schwarzachklamm near Gsteinach. </w:t>
      </w:r>
      <w:r>
        <w:rPr>
          <w:lang w:val="en-US"/>
        </w:rPr>
        <w:t xml:space="preserve">Within each moss, position of </w:t>
      </w:r>
      <w:r>
        <w:rPr>
          <w:i/>
          <w:iCs/>
          <w:lang w:val="en-US"/>
        </w:rPr>
        <w:t>Nostoc-</w:t>
      </w:r>
      <w:r>
        <w:rPr>
          <w:i w:val="false"/>
          <w:iCs w:val="false"/>
          <w:lang w:val="en-US"/>
        </w:rPr>
        <w:t>like colonies were variable but were most common in the leaflet axils of the moss gametophytes. Most notably i</w:t>
      </w:r>
      <w:r>
        <w:rPr>
          <w:lang w:val="en-US"/>
        </w:rPr>
        <w:t xml:space="preserve">n </w:t>
      </w:r>
      <w:r>
        <w:rPr>
          <w:i/>
          <w:iCs/>
          <w:lang w:val="en-US"/>
        </w:rPr>
        <w:t>Orthotrichum lyelli,</w:t>
      </w:r>
      <w:r>
        <w:rPr>
          <w:lang w:val="en-US"/>
        </w:rPr>
        <w:t xml:space="preserve"> the position of </w:t>
      </w:r>
      <w:r>
        <w:rPr>
          <w:i/>
          <w:iCs/>
          <w:lang w:val="en-US"/>
        </w:rPr>
        <w:t>Nostoc–</w:t>
      </w:r>
      <w:r>
        <w:rPr>
          <w:i w:val="false"/>
          <w:iCs w:val="false"/>
          <w:lang w:val="en-US"/>
        </w:rPr>
        <w:t>like</w:t>
      </w:r>
      <w:r>
        <w:rPr>
          <w:i/>
          <w:iCs/>
          <w:lang w:val="en-US"/>
        </w:rPr>
        <w:t xml:space="preserve"> </w:t>
      </w:r>
      <w:r>
        <w:rPr>
          <w:lang w:val="en-US"/>
        </w:rPr>
        <w:t>colonies were more variable, occurring in the leaf axils but also often on leaf laminas.</w:t>
      </w:r>
    </w:p>
    <w:p>
      <w:pPr>
        <w:pStyle w:val="Normal"/>
        <w:suppressLineNumbers/>
        <w:rPr/>
      </w:pPr>
      <w:r>
        <w:rPr/>
        <w:drawing>
          <wp:inline distT="0" distB="0" distL="0" distR="0">
            <wp:extent cx="3695700" cy="3758565"/>
            <wp:effectExtent l="0" t="0" r="0" b="0"/>
            <wp:docPr id="2"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title=""/>
                    <pic:cNvPicPr>
                      <a:picLocks noChangeAspect="1" noChangeArrowheads="1"/>
                    </pic:cNvPicPr>
                  </pic:nvPicPr>
                  <pic:blipFill>
                    <a:blip r:embed="rId9"/>
                    <a:srcRect l="10096" t="30644" r="27721" b="21920"/>
                    <a:stretch>
                      <a:fillRect/>
                    </a:stretch>
                  </pic:blipFill>
                  <pic:spPr bwMode="auto">
                    <a:xfrm>
                      <a:off x="0" y="0"/>
                      <a:ext cx="3695700" cy="3758565"/>
                    </a:xfrm>
                    <a:prstGeom prst="rect">
                      <a:avLst/>
                    </a:prstGeom>
                  </pic:spPr>
                </pic:pic>
              </a:graphicData>
            </a:graphic>
          </wp:inline>
        </w:drawing>
      </w:r>
      <w:r>
        <w:rPr>
          <w:lang w:val="en-US"/>
        </w:rPr>
        <w:t xml:space="preserve"> </w:t>
      </w:r>
    </w:p>
    <w:p>
      <w:pPr>
        <w:pStyle w:val="Normal"/>
        <w:suppressLineNumbers/>
        <w:rPr/>
      </w:pPr>
      <w:r>
        <w:rPr>
          <w:b/>
          <w:bCs/>
          <w:sz w:val="16"/>
          <w:szCs w:val="16"/>
          <w:lang w:val="en-US"/>
        </w:rPr>
        <w:t>Figure 2</w:t>
      </w:r>
      <w:r>
        <w:rPr>
          <w:sz w:val="16"/>
          <w:szCs w:val="16"/>
          <w:lang w:val="en-US"/>
        </w:rPr>
        <w:t xml:space="preserve">. Colonies of </w:t>
      </w:r>
      <w:r>
        <w:rPr>
          <w:i/>
          <w:iCs/>
          <w:sz w:val="16"/>
          <w:szCs w:val="16"/>
          <w:lang w:val="en-US"/>
        </w:rPr>
        <w:t>Nostoc-</w:t>
      </w:r>
      <w:r>
        <w:rPr>
          <w:i w:val="false"/>
          <w:iCs w:val="false"/>
          <w:sz w:val="16"/>
          <w:szCs w:val="16"/>
          <w:lang w:val="en-US"/>
        </w:rPr>
        <w:t xml:space="preserve">like organism observed from </w:t>
      </w:r>
      <w:r>
        <w:rPr>
          <w:i/>
          <w:iCs/>
          <w:sz w:val="16"/>
          <w:szCs w:val="16"/>
          <w:lang w:val="en-US"/>
        </w:rPr>
        <w:t>Orthotr</w:t>
      </w:r>
      <w:r>
        <w:rPr>
          <w:i/>
          <w:iCs/>
          <w:sz w:val="16"/>
          <w:szCs w:val="16"/>
        </w:rPr>
        <w:t xml:space="preserve">ichum lyelli </w:t>
      </w:r>
      <w:r>
        <w:rPr>
          <w:i w:val="false"/>
          <w:iCs w:val="false"/>
          <w:sz w:val="16"/>
          <w:szCs w:val="16"/>
        </w:rPr>
        <w:t>at</w:t>
      </w:r>
      <w:r>
        <w:rPr>
          <w:i/>
          <w:iCs/>
          <w:sz w:val="16"/>
          <w:szCs w:val="16"/>
        </w:rPr>
        <w:t xml:space="preserve"> </w:t>
      </w:r>
      <w:r>
        <w:rPr>
          <w:i w:val="false"/>
          <w:iCs w:val="false"/>
          <w:sz w:val="16"/>
          <w:szCs w:val="16"/>
          <w:lang w:val="en-US"/>
        </w:rPr>
        <w:t xml:space="preserve">400× magnification. </w:t>
      </w:r>
    </w:p>
    <w:p>
      <w:pPr>
        <w:pStyle w:val="Normal"/>
        <w:rPr/>
      </w:pPr>
      <w:r>
        <w:rPr/>
      </w:r>
    </w:p>
    <w:p>
      <w:pPr>
        <w:pStyle w:val="Normal"/>
        <w:suppressLineNumbers/>
        <w:rPr/>
      </w:pPr>
      <w:r>
        <w:rPr/>
        <w:drawing>
          <wp:inline distT="0" distB="0" distL="0" distR="0">
            <wp:extent cx="2975610" cy="224091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0"/>
                    <a:stretch>
                      <a:fillRect/>
                    </a:stretch>
                  </pic:blipFill>
                  <pic:spPr bwMode="auto">
                    <a:xfrm>
                      <a:off x="0" y="0"/>
                      <a:ext cx="2975610" cy="2240915"/>
                    </a:xfrm>
                    <a:prstGeom prst="rect">
                      <a:avLst/>
                    </a:prstGeom>
                  </pic:spPr>
                </pic:pic>
              </a:graphicData>
            </a:graphic>
          </wp:inline>
        </w:drawing>
      </w:r>
      <w:r>
        <w:rPr/>
        <w:drawing>
          <wp:inline distT="0" distB="0" distL="0" distR="0">
            <wp:extent cx="2669540" cy="186563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11"/>
                    <a:stretch>
                      <a:fillRect/>
                    </a:stretch>
                  </pic:blipFill>
                  <pic:spPr bwMode="auto">
                    <a:xfrm>
                      <a:off x="0" y="0"/>
                      <a:ext cx="2669540" cy="1865630"/>
                    </a:xfrm>
                    <a:prstGeom prst="rect">
                      <a:avLst/>
                    </a:prstGeom>
                  </pic:spPr>
                </pic:pic>
              </a:graphicData>
            </a:graphic>
          </wp:inline>
        </w:drawing>
      </w:r>
    </w:p>
    <w:p>
      <w:pPr>
        <w:pStyle w:val="Normal"/>
        <w:suppressLineNumbers/>
        <w:rPr/>
      </w:pPr>
      <w:r>
        <w:rPr>
          <w:b/>
          <w:bCs/>
          <w:sz w:val="16"/>
          <w:szCs w:val="16"/>
          <w:lang w:val="en-US"/>
        </w:rPr>
        <w:t>Figure 3</w:t>
      </w:r>
      <w:r>
        <w:rPr>
          <w:sz w:val="16"/>
          <w:szCs w:val="16"/>
          <w:lang w:val="en-US"/>
        </w:rPr>
        <w:t xml:space="preserve">. Colonies of </w:t>
      </w:r>
      <w:r>
        <w:rPr>
          <w:i/>
          <w:iCs/>
          <w:sz w:val="16"/>
          <w:szCs w:val="16"/>
          <w:lang w:val="en-US"/>
        </w:rPr>
        <w:t>Nostoc-</w:t>
      </w:r>
      <w:r>
        <w:rPr>
          <w:i w:val="false"/>
          <w:iCs w:val="false"/>
          <w:sz w:val="16"/>
          <w:szCs w:val="16"/>
          <w:lang w:val="en-US"/>
        </w:rPr>
        <w:t xml:space="preserve">like organism after isolation from </w:t>
      </w:r>
      <w:r>
        <w:rPr>
          <w:i/>
          <w:iCs/>
          <w:sz w:val="16"/>
          <w:szCs w:val="16"/>
          <w:lang w:val="en-US"/>
        </w:rPr>
        <w:t xml:space="preserve">Hylocomium splendens. </w:t>
      </w:r>
      <w:r>
        <w:rPr>
          <w:i w:val="false"/>
          <w:iCs w:val="false"/>
          <w:sz w:val="16"/>
          <w:szCs w:val="16"/>
          <w:lang w:val="en-US"/>
        </w:rPr>
        <w:t>(a) light microscopy, at 400× magnification and (b) 1000× magnification using epifluorescence with Cy5 filter setup (see methods), showing trichomes and heterocysts.</w:t>
      </w:r>
    </w:p>
    <w:p>
      <w:pPr>
        <w:pStyle w:val="Normal"/>
        <w:rPr>
          <w:i w:val="false"/>
          <w:i w:val="false"/>
          <w:iCs w:val="false"/>
          <w:lang w:val="en-US"/>
        </w:rPr>
      </w:pPr>
      <w:r>
        <w:rPr>
          <w:i w:val="false"/>
          <w:iCs w:val="false"/>
          <w:lang w:val="en-US"/>
        </w:rPr>
      </w:r>
    </w:p>
    <w:p>
      <w:pPr>
        <w:pStyle w:val="Normal"/>
        <w:suppressLineNumbers/>
        <w:rPr/>
      </w:pPr>
      <w:r>
        <w:rPr/>
        <w:drawing>
          <wp:inline distT="0" distB="0" distL="0" distR="0">
            <wp:extent cx="2973705" cy="226822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2"/>
                    <a:stretch>
                      <a:fillRect/>
                    </a:stretch>
                  </pic:blipFill>
                  <pic:spPr bwMode="auto">
                    <a:xfrm>
                      <a:off x="0" y="0"/>
                      <a:ext cx="2973705" cy="2268220"/>
                    </a:xfrm>
                    <a:prstGeom prst="rect">
                      <a:avLst/>
                    </a:prstGeom>
                  </pic:spPr>
                </pic:pic>
              </a:graphicData>
            </a:graphic>
          </wp:inline>
        </w:drawing>
      </w:r>
      <w:r>
        <w:rPr/>
        <w:drawing>
          <wp:inline distT="0" distB="0" distL="0" distR="0">
            <wp:extent cx="2703830" cy="226187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3"/>
                    <a:stretch>
                      <a:fillRect/>
                    </a:stretch>
                  </pic:blipFill>
                  <pic:spPr bwMode="auto">
                    <a:xfrm>
                      <a:off x="0" y="0"/>
                      <a:ext cx="2703830" cy="2261870"/>
                    </a:xfrm>
                    <a:prstGeom prst="rect">
                      <a:avLst/>
                    </a:prstGeom>
                  </pic:spPr>
                </pic:pic>
              </a:graphicData>
            </a:graphic>
          </wp:inline>
        </w:drawing>
      </w:r>
    </w:p>
    <w:p>
      <w:pPr>
        <w:pStyle w:val="Normal"/>
        <w:suppressLineNumbers/>
        <w:rPr/>
      </w:pPr>
      <w:r>
        <w:rPr>
          <w:b/>
          <w:bCs/>
          <w:sz w:val="16"/>
          <w:szCs w:val="16"/>
          <w:lang w:val="en-US"/>
        </w:rPr>
        <w:t>Figure 4</w:t>
      </w:r>
      <w:r>
        <w:rPr>
          <w:sz w:val="16"/>
          <w:szCs w:val="16"/>
          <w:lang w:val="en-US"/>
        </w:rPr>
        <w:t xml:space="preserve">. Colonies of </w:t>
      </w:r>
      <w:r>
        <w:rPr>
          <w:i/>
          <w:iCs/>
          <w:sz w:val="16"/>
          <w:szCs w:val="16"/>
          <w:lang w:val="en-US"/>
        </w:rPr>
        <w:t>Nostoc-</w:t>
      </w:r>
      <w:r>
        <w:rPr>
          <w:i w:val="false"/>
          <w:iCs w:val="false"/>
          <w:sz w:val="16"/>
          <w:szCs w:val="16"/>
          <w:lang w:val="en-US"/>
        </w:rPr>
        <w:t xml:space="preserve">like organism observed from </w:t>
      </w:r>
      <w:r>
        <w:rPr>
          <w:i/>
          <w:iCs/>
          <w:sz w:val="16"/>
          <w:szCs w:val="16"/>
          <w:lang w:val="en-US"/>
        </w:rPr>
        <w:t xml:space="preserve">Zygodon dentatus </w:t>
      </w:r>
      <w:r>
        <w:rPr>
          <w:i w:val="false"/>
          <w:iCs w:val="false"/>
          <w:sz w:val="16"/>
          <w:szCs w:val="16"/>
          <w:lang w:val="en-US"/>
        </w:rPr>
        <w:t>(a) at 50</w:t>
      </w:r>
      <w:r>
        <w:rPr>
          <w:rFonts w:eastAsia="Arial" w:cs="Arial"/>
          <w:sz w:val="16"/>
          <w:szCs w:val="16"/>
          <w:lang w:val="en-US"/>
        </w:rPr>
        <w:t>×</w:t>
      </w:r>
      <w:r>
        <w:rPr>
          <w:i w:val="false"/>
          <w:iCs w:val="false"/>
          <w:sz w:val="16"/>
          <w:szCs w:val="16"/>
          <w:lang w:val="en-US"/>
        </w:rPr>
        <w:t xml:space="preserve"> magnification with binocular dissecting microscope show heavy colonization of moss caulid. (b) at 400×, same colonies using using epifluorescence with Cy5 filter setup for detection of cyanobacteria, overlaid onto FITC setup for background moss tissue (see methods). </w:t>
      </w:r>
    </w:p>
    <w:p>
      <w:pPr>
        <w:pStyle w:val="Normal"/>
        <w:suppressLineNumbers/>
        <w:rPr/>
      </w:pPr>
      <w:r>
        <w:rPr/>
        <w:drawing>
          <wp:inline distT="0" distB="0" distL="0" distR="0">
            <wp:extent cx="2842260" cy="237807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4"/>
                    <a:stretch>
                      <a:fillRect/>
                    </a:stretch>
                  </pic:blipFill>
                  <pic:spPr bwMode="auto">
                    <a:xfrm>
                      <a:off x="0" y="0"/>
                      <a:ext cx="2842260" cy="2378075"/>
                    </a:xfrm>
                    <a:prstGeom prst="rect">
                      <a:avLst/>
                    </a:prstGeom>
                  </pic:spPr>
                </pic:pic>
              </a:graphicData>
            </a:graphic>
          </wp:inline>
        </w:drawing>
      </w:r>
    </w:p>
    <w:p>
      <w:pPr>
        <w:pStyle w:val="Normal"/>
        <w:suppressLineNumbers/>
        <w:rPr/>
      </w:pPr>
      <w:r>
        <w:rPr>
          <w:b/>
          <w:bCs/>
          <w:sz w:val="16"/>
          <w:szCs w:val="16"/>
          <w:lang w:val="en-US"/>
        </w:rPr>
        <w:t>Figure 5</w:t>
      </w:r>
      <w:r>
        <w:rPr>
          <w:sz w:val="16"/>
          <w:szCs w:val="16"/>
          <w:lang w:val="en-US"/>
        </w:rPr>
        <w:t xml:space="preserve">. Colonies of </w:t>
      </w:r>
      <w:r>
        <w:rPr>
          <w:i/>
          <w:iCs/>
          <w:sz w:val="16"/>
          <w:szCs w:val="16"/>
          <w:lang w:val="en-US"/>
        </w:rPr>
        <w:t>Nostoc-</w:t>
      </w:r>
      <w:r>
        <w:rPr>
          <w:i w:val="false"/>
          <w:iCs w:val="false"/>
          <w:sz w:val="16"/>
          <w:szCs w:val="16"/>
          <w:lang w:val="en-US"/>
        </w:rPr>
        <w:t xml:space="preserve">like organism observed from </w:t>
      </w:r>
      <w:r>
        <w:rPr>
          <w:i/>
          <w:iCs/>
          <w:sz w:val="16"/>
          <w:szCs w:val="16"/>
          <w:lang w:val="en-US"/>
        </w:rPr>
        <w:t>Homalia trichomanoides at</w:t>
      </w:r>
      <w:r>
        <w:rPr>
          <w:i w:val="false"/>
          <w:iCs w:val="false"/>
          <w:sz w:val="16"/>
          <w:szCs w:val="16"/>
          <w:lang w:val="en-US"/>
        </w:rPr>
        <w:t xml:space="preserve"> 400× using epifluorescence with TXRED filter setup for detection of cyanobacteria, overlaid onto FITC setup for background moss tissue (see methods).</w:t>
      </w:r>
    </w:p>
    <w:p>
      <w:pPr>
        <w:pStyle w:val="Normal"/>
        <w:rPr>
          <w:i w:val="false"/>
          <w:i w:val="false"/>
          <w:iCs w:val="false"/>
          <w:lang w:val="en-US"/>
        </w:rPr>
      </w:pPr>
      <w:r>
        <w:rPr>
          <w:i w:val="false"/>
          <w:iCs w:val="false"/>
          <w:lang w:val="en-US"/>
        </w:rPr>
      </w:r>
    </w:p>
    <w:p>
      <w:pPr>
        <w:pStyle w:val="Normal"/>
        <w:suppressLineNumbers/>
        <w:rPr/>
      </w:pPr>
      <w:r>
        <w:rPr/>
        <w:drawing>
          <wp:inline distT="0" distB="0" distL="0" distR="0">
            <wp:extent cx="2553970" cy="192341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5"/>
                    <a:stretch>
                      <a:fillRect/>
                    </a:stretch>
                  </pic:blipFill>
                  <pic:spPr bwMode="auto">
                    <a:xfrm>
                      <a:off x="0" y="0"/>
                      <a:ext cx="2553970" cy="1923415"/>
                    </a:xfrm>
                    <a:prstGeom prst="rect">
                      <a:avLst/>
                    </a:prstGeom>
                  </pic:spPr>
                </pic:pic>
              </a:graphicData>
            </a:graphic>
          </wp:inline>
        </w:drawing>
      </w:r>
      <w:r>
        <w:rPr/>
        <w:drawing>
          <wp:inline distT="0" distB="0" distL="0" distR="0">
            <wp:extent cx="2289175" cy="1914525"/>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6"/>
                    <a:stretch>
                      <a:fillRect/>
                    </a:stretch>
                  </pic:blipFill>
                  <pic:spPr bwMode="auto">
                    <a:xfrm>
                      <a:off x="0" y="0"/>
                      <a:ext cx="2289175" cy="1914525"/>
                    </a:xfrm>
                    <a:prstGeom prst="rect">
                      <a:avLst/>
                    </a:prstGeom>
                  </pic:spPr>
                </pic:pic>
              </a:graphicData>
            </a:graphic>
          </wp:inline>
        </w:drawing>
      </w:r>
      <w:r>
        <w:rPr/>
        <w:drawing>
          <wp:inline distT="0" distB="0" distL="0" distR="0">
            <wp:extent cx="2306955" cy="1737995"/>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7"/>
                    <a:stretch>
                      <a:fillRect/>
                    </a:stretch>
                  </pic:blipFill>
                  <pic:spPr bwMode="auto">
                    <a:xfrm>
                      <a:off x="0" y="0"/>
                      <a:ext cx="2306955" cy="1737995"/>
                    </a:xfrm>
                    <a:prstGeom prst="rect">
                      <a:avLst/>
                    </a:prstGeom>
                  </pic:spPr>
                </pic:pic>
              </a:graphicData>
            </a:graphic>
          </wp:inline>
        </w:drawing>
      </w:r>
      <w:r>
        <w:rPr>
          <w:lang w:val="en-US"/>
        </w:rPr>
        <w:t xml:space="preserve"> </w:t>
      </w:r>
    </w:p>
    <w:p>
      <w:pPr>
        <w:pStyle w:val="Normal"/>
        <w:suppressLineNumbers/>
        <w:rPr/>
      </w:pPr>
      <w:r>
        <w:rPr>
          <w:b/>
          <w:bCs/>
          <w:sz w:val="16"/>
          <w:szCs w:val="16"/>
          <w:lang w:val="en-US"/>
        </w:rPr>
        <w:t>Figure 6</w:t>
      </w:r>
      <w:r>
        <w:rPr>
          <w:sz w:val="16"/>
          <w:szCs w:val="16"/>
          <w:lang w:val="en-US"/>
        </w:rPr>
        <w:t xml:space="preserve">. Colonies of </w:t>
      </w:r>
      <w:r>
        <w:rPr>
          <w:i/>
          <w:iCs/>
          <w:sz w:val="16"/>
          <w:szCs w:val="16"/>
          <w:lang w:val="en-US"/>
        </w:rPr>
        <w:t>Nostoc-</w:t>
      </w:r>
      <w:r>
        <w:rPr>
          <w:i w:val="false"/>
          <w:iCs w:val="false"/>
          <w:sz w:val="16"/>
          <w:szCs w:val="16"/>
          <w:lang w:val="en-US"/>
        </w:rPr>
        <w:t>like organism observed from</w:t>
      </w:r>
      <w:r>
        <w:rPr>
          <w:i/>
          <w:iCs/>
          <w:sz w:val="16"/>
          <w:szCs w:val="16"/>
          <w:lang w:val="en-US"/>
        </w:rPr>
        <w:t xml:space="preserve"> Pseudoamblystegium subtile. </w:t>
      </w:r>
      <w:r>
        <w:rPr>
          <w:i w:val="false"/>
          <w:iCs w:val="false"/>
          <w:sz w:val="16"/>
          <w:szCs w:val="16"/>
          <w:lang w:val="en-US"/>
        </w:rPr>
        <w:t xml:space="preserve">(a,b) abundant colonization by </w:t>
      </w:r>
      <w:r>
        <w:rPr>
          <w:i/>
          <w:iCs w:val="false"/>
          <w:sz w:val="16"/>
          <w:szCs w:val="16"/>
          <w:lang w:val="en-US"/>
        </w:rPr>
        <w:t>Nostoc</w:t>
      </w:r>
      <w:r>
        <w:rPr>
          <w:i w:val="false"/>
          <w:iCs w:val="false"/>
          <w:sz w:val="16"/>
          <w:szCs w:val="16"/>
          <w:lang w:val="en-US"/>
        </w:rPr>
        <w:t xml:space="preserve"> colones on caulid at 100× magnification with light and using epifluorescence with Cy5 filter setup for detection of cyanobacteria, overlaid onto FITC setup for background moss tissue (see methods). (c) 1000× magnification of same organism, showing trichomes and heterocysts. </w:t>
      </w:r>
    </w:p>
    <w:p>
      <w:pPr>
        <w:pStyle w:val="Heading3"/>
        <w:rPr>
          <w:i w:val="false"/>
          <w:i w:val="false"/>
          <w:iCs w:val="false"/>
          <w:lang w:val="en-US"/>
        </w:rPr>
      </w:pPr>
      <w:r>
        <w:rPr>
          <w:i w:val="false"/>
          <w:iCs w:val="false"/>
          <w:lang w:val="en-US"/>
        </w:rPr>
        <w:t>Endophyte survey</w:t>
      </w:r>
    </w:p>
    <w:p>
      <w:pPr>
        <w:pStyle w:val="Normal"/>
        <w:rPr/>
      </w:pPr>
      <w:r>
        <w:rPr>
          <w:i w:val="false"/>
          <w:iCs w:val="false"/>
          <w:lang w:val="en-US"/>
        </w:rPr>
        <w:t>Epiphyte reduction</w:t>
      </w:r>
      <w:r>
        <w:rPr>
          <w:i w:val="false"/>
          <w:iCs w:val="false"/>
          <w:lang w:val="en-US"/>
        </w:rPr>
        <w:t xml:space="preserve"> of </w:t>
      </w:r>
      <w:r>
        <w:rPr>
          <w:i/>
          <w:iCs/>
          <w:lang w:val="en-US"/>
        </w:rPr>
        <w:t xml:space="preserve">Hylocomium splendens </w:t>
      </w:r>
      <w:r>
        <w:rPr>
          <w:i w:val="false"/>
          <w:iCs w:val="false"/>
          <w:lang w:val="en-US"/>
        </w:rPr>
        <w:t xml:space="preserve">fronds greatly reduced the amount of visible colonization by cyanobacteria and other phototrophs (Fig. 7). Generally, epiphyte reduced leaf surfaces were cleared of visible colonies, though occasionally some microbial cells were observed (Fig. 7c). </w:t>
      </w:r>
      <w:r>
        <w:rPr>
          <w:i/>
          <w:iCs/>
          <w:lang w:val="en-US"/>
        </w:rPr>
        <w:t xml:space="preserve">H. splendens </w:t>
      </w:r>
      <w:r>
        <w:rPr>
          <w:i w:val="false"/>
          <w:iCs w:val="false"/>
          <w:lang w:val="en-US"/>
        </w:rPr>
        <w:t>stems</w:t>
      </w:r>
      <w:r>
        <w:rPr>
          <w:i/>
          <w:iCs/>
          <w:lang w:val="en-US"/>
        </w:rPr>
        <w:t xml:space="preserve"> </w:t>
      </w:r>
      <w:r>
        <w:rPr>
          <w:i w:val="false"/>
          <w:iCs w:val="false"/>
          <w:lang w:val="en-US"/>
        </w:rPr>
        <w:t>still</w:t>
      </w:r>
      <w:r>
        <w:rPr>
          <w:i/>
          <w:iCs/>
          <w:lang w:val="en-US"/>
        </w:rPr>
        <w:t xml:space="preserve"> </w:t>
      </w:r>
      <w:r>
        <w:rPr>
          <w:lang w:val="en-US"/>
        </w:rPr>
        <w:t xml:space="preserve">appeared to consistently harbor extensive significant microbial biomass following </w:t>
      </w:r>
      <w:r>
        <w:rPr>
          <w:lang w:val="en-US"/>
        </w:rPr>
        <w:t>epiphyte reduction</w:t>
      </w:r>
      <w:r>
        <w:rPr>
          <w:lang w:val="en-US"/>
        </w:rPr>
        <w:t xml:space="preserve">, possibly cyanobacteria because of their fluorescence patterns (Fig. 7d). </w:t>
      </w:r>
    </w:p>
    <w:p>
      <w:pPr>
        <w:pStyle w:val="Normal"/>
        <w:suppressLineNumbers/>
        <w:rPr/>
      </w:pPr>
      <w:r>
        <w:rPr/>
        <w:drawing>
          <wp:inline distT="0" distB="0" distL="0" distR="0">
            <wp:extent cx="5943600" cy="4635500"/>
            <wp:effectExtent l="0" t="0" r="0" b="0"/>
            <wp:docPr id="1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descr="" title=""/>
                    <pic:cNvPicPr>
                      <a:picLocks noChangeAspect="1" noChangeArrowheads="1"/>
                    </pic:cNvPicPr>
                  </pic:nvPicPr>
                  <pic:blipFill>
                    <a:blip r:embed="rId18"/>
                    <a:stretch>
                      <a:fillRect/>
                    </a:stretch>
                  </pic:blipFill>
                  <pic:spPr bwMode="auto">
                    <a:xfrm>
                      <a:off x="0" y="0"/>
                      <a:ext cx="5943600" cy="4635500"/>
                    </a:xfrm>
                    <a:prstGeom prst="rect">
                      <a:avLst/>
                    </a:prstGeom>
                  </pic:spPr>
                </pic:pic>
              </a:graphicData>
            </a:graphic>
          </wp:inline>
        </w:drawing>
      </w:r>
      <w:r>
        <w:rPr>
          <w:b/>
          <w:bCs/>
          <w:sz w:val="16"/>
          <w:szCs w:val="16"/>
          <w:lang w:val="en-US"/>
        </w:rPr>
        <w:t xml:space="preserve">Figure 7. </w:t>
      </w:r>
      <w:r>
        <w:rPr>
          <w:b w:val="false"/>
          <w:bCs w:val="false"/>
          <w:sz w:val="16"/>
          <w:szCs w:val="16"/>
          <w:lang w:val="en-US"/>
        </w:rPr>
        <w:t xml:space="preserve">Microbiota of leaves and stems of </w:t>
      </w:r>
      <w:r>
        <w:rPr>
          <w:b w:val="false"/>
          <w:bCs w:val="false"/>
          <w:i/>
          <w:iCs/>
          <w:sz w:val="16"/>
          <w:szCs w:val="16"/>
          <w:lang w:val="en-US"/>
        </w:rPr>
        <w:t>Hylocomium splendens,</w:t>
      </w:r>
      <w:r>
        <w:rPr>
          <w:b w:val="false"/>
          <w:bCs w:val="false"/>
          <w:sz w:val="16"/>
          <w:szCs w:val="16"/>
          <w:lang w:val="en-US"/>
        </w:rPr>
        <w:t xml:space="preserve"> using epifluorescence with Cy5 filter setup for detection of cyanobacteria, overlaid onto FITC setup for background moss tissue (see methods). (a-b) fluorescence of cyanobacterial and eukaryotic algae on untreated moss leaves. (c,d) after </w:t>
      </w:r>
      <w:r>
        <w:rPr>
          <w:b w:val="false"/>
          <w:bCs w:val="false"/>
          <w:sz w:val="16"/>
          <w:szCs w:val="16"/>
          <w:lang w:val="en-US"/>
        </w:rPr>
        <w:t>epiphyte reduction</w:t>
      </w:r>
      <w:r>
        <w:rPr>
          <w:b w:val="false"/>
          <w:bCs w:val="false"/>
          <w:sz w:val="16"/>
          <w:szCs w:val="16"/>
          <w:lang w:val="en-US"/>
        </w:rPr>
        <w:t>, eukaryotic-algal and cyanobacterial cells on leaves are mostly no longer visible, but colonies on stems remain visible, possibly indicating endophytic lifestyle within stems.</w:t>
      </w:r>
      <w:r>
        <w:rPr>
          <w:b w:val="false"/>
          <w:bCs w:val="false"/>
          <w:lang w:val="en-US"/>
        </w:rPr>
        <w:t xml:space="preserve"> </w:t>
      </w:r>
    </w:p>
    <w:p>
      <w:pPr>
        <w:pStyle w:val="Normal"/>
        <w:rPr>
          <w:i w:val="false"/>
          <w:i w:val="false"/>
          <w:iCs w:val="false"/>
          <w:sz w:val="16"/>
          <w:szCs w:val="16"/>
          <w:lang w:val="en-US"/>
        </w:rPr>
      </w:pPr>
      <w:r>
        <w:rPr>
          <w:i w:val="false"/>
          <w:iCs w:val="false"/>
          <w:sz w:val="16"/>
          <w:szCs w:val="16"/>
          <w:lang w:val="en-US"/>
        </w:rPr>
      </w:r>
    </w:p>
    <w:p>
      <w:pPr>
        <w:pStyle w:val="Heading3"/>
        <w:rPr/>
      </w:pPr>
      <w:r>
        <w:rPr>
          <w:lang w:val="en-US"/>
        </w:rPr>
        <w:t xml:space="preserve">Culture of </w:t>
      </w:r>
      <w:r>
        <w:rPr>
          <w:i/>
          <w:iCs/>
          <w:lang w:val="en-US"/>
        </w:rPr>
        <w:t>Nostoc</w:t>
      </w:r>
      <w:r>
        <w:rPr>
          <w:lang w:val="en-US"/>
        </w:rPr>
        <w:t>-like organisms</w:t>
      </w:r>
    </w:p>
    <w:p>
      <w:pPr>
        <w:pStyle w:val="Normal"/>
        <w:rPr/>
      </w:pPr>
      <w:r>
        <w:rPr>
          <w:i w:val="false"/>
          <w:iCs w:val="false"/>
          <w:lang w:val="en-US"/>
        </w:rPr>
        <w:t xml:space="preserve">Out of 5 observed </w:t>
      </w:r>
      <w:r>
        <w:rPr>
          <w:i/>
          <w:iCs/>
          <w:lang w:val="en-US"/>
        </w:rPr>
        <w:t>Nostoc</w:t>
      </w:r>
      <w:r>
        <w:rPr>
          <w:i w:val="false"/>
          <w:iCs w:val="false"/>
          <w:lang w:val="en-US"/>
        </w:rPr>
        <w:t xml:space="preserve">-like organisms, 4 strains were successfully isolated. Successful </w:t>
      </w:r>
      <w:r>
        <w:rPr>
          <w:i/>
          <w:iCs/>
          <w:lang w:val="en-US"/>
        </w:rPr>
        <w:t>Nostoc-</w:t>
      </w:r>
      <w:r>
        <w:rPr>
          <w:i w:val="false"/>
          <w:iCs w:val="false"/>
          <w:lang w:val="en-US"/>
        </w:rPr>
        <w:t xml:space="preserve">like isolates were from: </w:t>
      </w:r>
      <w:r>
        <w:rPr>
          <w:i/>
          <w:iCs/>
          <w:lang w:val="en-US"/>
        </w:rPr>
        <w:t xml:space="preserve">Hylocomium splendens </w:t>
      </w:r>
      <w:r>
        <w:rPr>
          <w:i w:val="false"/>
          <w:iCs w:val="false"/>
          <w:lang w:val="en-US"/>
        </w:rPr>
        <w:t>(Fig. 3)</w:t>
      </w:r>
      <w:r>
        <w:rPr>
          <w:i/>
          <w:iCs/>
          <w:lang w:val="en-US"/>
        </w:rPr>
        <w:t xml:space="preserve">, Homalia trichomanoides </w:t>
      </w:r>
      <w:r>
        <w:rPr>
          <w:i w:val="false"/>
          <w:iCs w:val="false"/>
          <w:lang w:val="en-US"/>
        </w:rPr>
        <w:t>(Fig. 5)</w:t>
      </w:r>
      <w:r>
        <w:rPr>
          <w:i/>
          <w:iCs/>
          <w:lang w:val="en-US"/>
        </w:rPr>
        <w:t xml:space="preserve">, Pseudoamblystegium subtile </w:t>
      </w:r>
      <w:r>
        <w:rPr>
          <w:i w:val="false"/>
          <w:iCs w:val="false"/>
          <w:lang w:val="en-US"/>
        </w:rPr>
        <w:t>(Fig. 6)</w:t>
      </w:r>
      <w:r>
        <w:rPr>
          <w:i/>
          <w:iCs/>
          <w:lang w:val="en-US"/>
        </w:rPr>
        <w:t xml:space="preserve">, and Zygodon </w:t>
      </w:r>
      <w:r>
        <w:rPr>
          <w:i w:val="false"/>
          <w:iCs w:val="false"/>
          <w:lang w:val="en-US"/>
        </w:rPr>
        <w:t>sp</w:t>
      </w:r>
      <w:r>
        <w:rPr>
          <w:i/>
          <w:iCs/>
          <w:lang w:val="en-US"/>
        </w:rPr>
        <w:t xml:space="preserve">. </w:t>
      </w:r>
      <w:r>
        <w:rPr>
          <w:i w:val="false"/>
          <w:iCs w:val="false"/>
          <w:lang w:val="en-US"/>
        </w:rPr>
        <w:t>(Fig. 4)</w:t>
      </w:r>
      <w:r>
        <w:rPr>
          <w:i/>
          <w:iCs/>
          <w:lang w:val="en-US"/>
        </w:rPr>
        <w:t xml:space="preserve">. </w:t>
      </w:r>
      <w:r>
        <w:rPr>
          <w:i w:val="false"/>
          <w:iCs w:val="false"/>
          <w:lang w:val="en-US"/>
        </w:rPr>
        <w:t xml:space="preserve">The </w:t>
      </w:r>
      <w:r>
        <w:rPr>
          <w:i/>
          <w:iCs/>
          <w:lang w:val="en-US"/>
        </w:rPr>
        <w:t>Nostoc-</w:t>
      </w:r>
      <w:r>
        <w:rPr>
          <w:i w:val="false"/>
          <w:iCs w:val="false"/>
          <w:lang w:val="en-US"/>
        </w:rPr>
        <w:t xml:space="preserve">like organism from </w:t>
      </w:r>
      <w:r>
        <w:rPr>
          <w:i/>
          <w:iCs/>
          <w:lang w:val="en-US"/>
        </w:rPr>
        <w:t xml:space="preserve">Orthotrichum </w:t>
      </w:r>
      <w:r>
        <w:rPr>
          <w:i w:val="false"/>
          <w:iCs w:val="false"/>
          <w:lang w:val="en-US"/>
        </w:rPr>
        <w:t>moss (Fig. 2) failed to show any growth and typically became chlorotic, despite abundant growth on the collected moss tissue. The</w:t>
      </w:r>
      <w:r>
        <w:rPr>
          <w:i/>
          <w:iCs/>
          <w:lang w:val="en-US"/>
        </w:rPr>
        <w:t xml:space="preserve"> Pseudoamblystegium-</w:t>
      </w:r>
      <w:r>
        <w:rPr>
          <w:i w:val="false"/>
          <w:iCs w:val="false"/>
          <w:lang w:val="en-US"/>
        </w:rPr>
        <w:t xml:space="preserve">associated </w:t>
      </w:r>
      <w:r>
        <w:rPr>
          <w:i/>
          <w:iCs/>
          <w:lang w:val="en-US"/>
        </w:rPr>
        <w:t>Nostoc-</w:t>
      </w:r>
      <w:r>
        <w:rPr>
          <w:i w:val="false"/>
          <w:iCs w:val="false"/>
          <w:lang w:val="en-US"/>
        </w:rPr>
        <w:t xml:space="preserve">like organism was lost shortly after transfer into liquid culture, and was overtaken by an unidentified, co-cultured non-filamentous cyanobacterium. This may have resulted in a failed PCR amplification of </w:t>
      </w:r>
      <w:r>
        <w:rPr>
          <w:i/>
          <w:iCs w:val="false"/>
          <w:lang w:val="en-US"/>
        </w:rPr>
        <w:t>nifH</w:t>
      </w:r>
      <w:r>
        <w:rPr>
          <w:i w:val="false"/>
          <w:iCs w:val="false"/>
          <w:lang w:val="en-US"/>
        </w:rPr>
        <w:t xml:space="preserve">, though some 16S rRNA gene sequence data from the </w:t>
      </w:r>
      <w:r>
        <w:rPr>
          <w:i/>
          <w:iCs/>
          <w:lang w:val="en-US"/>
        </w:rPr>
        <w:t>Nostoc</w:t>
      </w:r>
      <w:r>
        <w:rPr>
          <w:i w:val="false"/>
          <w:iCs w:val="false"/>
          <w:lang w:val="en-US"/>
        </w:rPr>
        <w:t xml:space="preserve">-like organism were recovered (see below). </w:t>
      </w:r>
    </w:p>
    <w:p>
      <w:pPr>
        <w:pStyle w:val="Heading3"/>
        <w:rPr/>
      </w:pPr>
      <w:r>
        <w:rPr>
          <w:lang w:val="en-US"/>
        </w:rPr>
        <w:t xml:space="preserve">Whole-community amplification of </w:t>
      </w:r>
      <w:r>
        <w:rPr>
          <w:i/>
          <w:lang w:val="en-US"/>
        </w:rPr>
        <w:t>nifH</w:t>
      </w:r>
      <w:r>
        <w:rPr>
          <w:lang w:val="en-US"/>
        </w:rPr>
        <w:t xml:space="preserve"> gene</w:t>
      </w:r>
    </w:p>
    <w:p>
      <w:pPr>
        <w:pStyle w:val="Normal"/>
        <w:spacing w:before="0" w:after="240"/>
        <w:rPr/>
      </w:pPr>
      <w:r>
        <w:rPr/>
      </w:r>
    </w:p>
    <w:p>
      <w:pPr>
        <w:pStyle w:val="Normal"/>
        <w:spacing w:before="0" w:after="240"/>
        <w:rPr/>
      </w:pPr>
      <w:r>
        <w:rPr/>
        <w:t xml:space="preserve">Culture-free amplification of </w:t>
      </w:r>
      <w:r>
        <w:rPr>
          <w:i/>
          <w:iCs/>
        </w:rPr>
        <w:t>nifH</w:t>
      </w:r>
      <w:r>
        <w:rPr/>
        <w:t xml:space="preserve"> using cyanobacterial </w:t>
      </w:r>
      <w:r>
        <w:rPr>
          <w:i/>
          <w:iCs/>
        </w:rPr>
        <w:t>nifH</w:t>
      </w:r>
      <w:r>
        <w:rPr/>
        <w:t xml:space="preserve"> primers from </w:t>
      </w:r>
      <w:r>
        <w:rPr>
          <w:i/>
          <w:iCs/>
        </w:rPr>
        <w:t>Hylocomium</w:t>
      </w:r>
      <w:r>
        <w:rPr/>
        <w:t xml:space="preserve"> moss tissue consistently showed amplification in two bands in the size range of interest in the whole-community (moss + microbiome) samples. One band matched the expected size of </w:t>
      </w:r>
      <w:r>
        <w:rPr>
          <w:i/>
          <w:iCs/>
        </w:rPr>
        <w:t>nifH</w:t>
      </w:r>
      <w:r>
        <w:rPr/>
        <w:t xml:space="preserve"> and matched </w:t>
      </w:r>
      <w:r>
        <w:rPr/>
        <w:t xml:space="preserve">bands </w:t>
      </w:r>
      <w:r>
        <w:rPr/>
        <w:t xml:space="preserve">presumed </w:t>
      </w:r>
      <w:r>
        <w:rPr/>
        <w:t>to</w:t>
      </w:r>
      <w:r>
        <w:rPr/>
        <w:t xml:space="preserve"> </w:t>
      </w:r>
      <w:r>
        <w:rPr>
          <w:i/>
          <w:iCs/>
        </w:rPr>
        <w:t>nifH</w:t>
      </w:r>
      <w:r>
        <w:rPr/>
        <w:t xml:space="preserve"> amplicons observed from </w:t>
      </w:r>
      <w:r>
        <w:rPr>
          <w:i/>
          <w:iCs/>
        </w:rPr>
        <w:t xml:space="preserve">T. variabilis </w:t>
      </w:r>
      <w:r>
        <w:rPr>
          <w:i w:val="false"/>
          <w:iCs w:val="false"/>
        </w:rPr>
        <w:t>controls</w:t>
      </w:r>
      <w:r>
        <w:rPr/>
        <w:t xml:space="preserve">, and appeared in all moss samples and sections at varying brightnesses.  Another slightly larger size class band was displayed which appeared only when a host plant was present and not in amplicons from axenic culture of </w:t>
      </w:r>
      <w:r>
        <w:rPr>
          <w:i/>
          <w:iCs/>
        </w:rPr>
        <w:t>T. variabilis</w:t>
      </w:r>
      <w:r>
        <w:rPr/>
        <w:t xml:space="preserve">, possibly consisting of hosts plant homologs to </w:t>
      </w:r>
      <w:r>
        <w:rPr>
          <w:i/>
          <w:iCs/>
        </w:rPr>
        <w:t>nifH</w:t>
      </w:r>
      <w:r>
        <w:rPr/>
        <w:t xml:space="preserve"> (___supp. fig. ___). Other, much larger amplicons were also observed, likely due to non-optimized PCR conditions, probably consisting of either non-specific amplification or </w:t>
      </w:r>
      <w:r>
        <w:rPr/>
        <w:t>concato</w:t>
      </w:r>
      <w:r>
        <w:rPr/>
        <w:t>meric PCR products</w:t>
      </w:r>
      <w:r>
        <w:rPr/>
        <w:t xml:space="preserve">. </w:t>
      </w:r>
    </w:p>
    <w:p>
      <w:pPr>
        <w:pStyle w:val="Heading3"/>
        <w:rPr/>
      </w:pPr>
      <w:r>
        <w:rPr>
          <w:lang w:val="en-US"/>
        </w:rPr>
        <w:t xml:space="preserve">Phylogenetic placement of </w:t>
      </w:r>
      <w:r>
        <w:rPr>
          <w:i/>
          <w:lang w:val="en-US"/>
        </w:rPr>
        <w:t>nifH</w:t>
      </w:r>
      <w:r>
        <w:rPr>
          <w:lang w:val="en-US"/>
        </w:rPr>
        <w:t xml:space="preserve"> genes from cultured </w:t>
      </w:r>
      <w:r>
        <w:rPr>
          <w:i/>
          <w:iCs/>
          <w:lang w:val="en-US"/>
        </w:rPr>
        <w:t>Nostoc</w:t>
      </w:r>
      <w:r>
        <w:rPr>
          <w:lang w:val="en-US"/>
        </w:rPr>
        <w:t>-like organisms</w:t>
      </w:r>
    </w:p>
    <w:p>
      <w:pPr>
        <w:pStyle w:val="Normal"/>
        <w:rPr/>
      </w:pPr>
      <w:r>
        <w:rPr/>
      </w:r>
    </w:p>
    <w:p>
      <w:pPr>
        <w:pStyle w:val="Normal"/>
        <w:rPr/>
      </w:pPr>
      <w:r>
        <w:rPr>
          <w:lang w:val="en-US"/>
        </w:rPr>
        <w:t xml:space="preserve">We detected </w:t>
      </w:r>
      <w:r>
        <w:rPr>
          <w:i/>
          <w:lang w:val="en-US"/>
        </w:rPr>
        <w:t>nifH</w:t>
      </w:r>
      <w:r>
        <w:rPr>
          <w:lang w:val="en-US"/>
        </w:rPr>
        <w:t xml:space="preserve"> sequences from 3 of the 4 </w:t>
      </w:r>
      <w:r>
        <w:rPr>
          <w:i/>
          <w:iCs/>
          <w:lang w:val="en-US"/>
        </w:rPr>
        <w:t>Nostoc</w:t>
      </w:r>
      <w:r>
        <w:rPr>
          <w:i w:val="false"/>
          <w:iCs w:val="false"/>
          <w:lang w:val="en-US"/>
        </w:rPr>
        <w:t xml:space="preserve">-like organisms: </w:t>
      </w:r>
      <w:r>
        <w:rPr>
          <w:i/>
          <w:iCs/>
          <w:lang w:val="en-US"/>
        </w:rPr>
        <w:t xml:space="preserve">Hylocomium-, Zygodon-, </w:t>
      </w:r>
      <w:r>
        <w:rPr>
          <w:i w:val="false"/>
          <w:iCs w:val="false"/>
          <w:lang w:val="en-US"/>
        </w:rPr>
        <w:t xml:space="preserve">and </w:t>
      </w:r>
      <w:r>
        <w:rPr>
          <w:i/>
          <w:iCs/>
          <w:lang w:val="en-US"/>
        </w:rPr>
        <w:t>Homalia-</w:t>
      </w:r>
      <w:r>
        <w:rPr>
          <w:i w:val="false"/>
          <w:iCs w:val="false"/>
          <w:lang w:val="en-US"/>
        </w:rPr>
        <w:t xml:space="preserve">associated </w:t>
      </w:r>
      <w:r>
        <w:rPr>
          <w:i/>
          <w:iCs/>
          <w:lang w:val="en-US"/>
        </w:rPr>
        <w:t>Nostoc-</w:t>
      </w:r>
      <w:r>
        <w:rPr>
          <w:i w:val="false"/>
          <w:iCs w:val="false"/>
          <w:lang w:val="en-US"/>
        </w:rPr>
        <w:t xml:space="preserve">like organisms. Despite differentiated cells resembling heterocysts (Fig. 6), PCR-amplification of </w:t>
      </w:r>
      <w:r>
        <w:rPr>
          <w:i/>
          <w:iCs w:val="false"/>
          <w:lang w:val="en-US"/>
        </w:rPr>
        <w:t>nifH</w:t>
      </w:r>
      <w:r>
        <w:rPr>
          <w:i w:val="false"/>
          <w:iCs w:val="false"/>
          <w:lang w:val="en-US"/>
        </w:rPr>
        <w:t xml:space="preserve"> from our culture of </w:t>
      </w:r>
      <w:r>
        <w:rPr>
          <w:i/>
          <w:iCs/>
          <w:lang w:val="en-US"/>
        </w:rPr>
        <w:t>Pseudoamblystegium-</w:t>
      </w:r>
      <w:r>
        <w:rPr>
          <w:i w:val="false"/>
          <w:iCs w:val="false"/>
          <w:lang w:val="en-US"/>
        </w:rPr>
        <w:t xml:space="preserve">associated </w:t>
      </w:r>
      <w:r>
        <w:rPr>
          <w:i/>
          <w:iCs/>
          <w:lang w:val="en-US"/>
        </w:rPr>
        <w:t>Nostoc-</w:t>
      </w:r>
      <w:r>
        <w:rPr>
          <w:i w:val="false"/>
          <w:iCs w:val="false"/>
          <w:lang w:val="en-US"/>
        </w:rPr>
        <w:t xml:space="preserve">like organism did not yield any sequence-able product, probably due to overgrowth by a non-nitrogen fixing cyanobacteria (see above). The topology of our </w:t>
      </w:r>
      <w:r>
        <w:rPr>
          <w:i/>
          <w:iCs w:val="false"/>
          <w:lang w:val="en-US"/>
        </w:rPr>
        <w:t>nifH</w:t>
      </w:r>
      <w:r>
        <w:rPr>
          <w:i w:val="false"/>
          <w:iCs w:val="false"/>
          <w:lang w:val="en-US"/>
        </w:rPr>
        <w:t xml:space="preserve"> tree recaptured the major clades of Kubota et al. (2023) and Ininbergs et al. (2011) with some minor differences (Fig. 9, supp. Fig. </w:t>
      </w:r>
      <w:r>
        <w:rPr>
          <w:i w:val="false"/>
          <w:iCs w:val="false"/>
          <w:lang w:val="en-US"/>
        </w:rPr>
        <w:t>___</w:t>
      </w:r>
      <w:r>
        <w:rPr>
          <w:i w:val="false"/>
          <w:iCs w:val="false"/>
          <w:lang w:val="en-US"/>
        </w:rPr>
        <w:t>2</w:t>
      </w:r>
      <w:r>
        <w:rPr>
          <w:i w:val="false"/>
          <w:iCs w:val="false"/>
          <w:lang w:val="en-US"/>
        </w:rPr>
        <w:t>___</w:t>
      </w:r>
      <w:r>
        <w:rPr>
          <w:i w:val="false"/>
          <w:iCs w:val="false"/>
          <w:lang w:val="en-US"/>
        </w:rPr>
        <w:t xml:space="preserve">). The most important distinction was the inclusion of the </w:t>
      </w:r>
      <w:r>
        <w:rPr>
          <w:i/>
          <w:iCs/>
          <w:lang w:val="en-US"/>
        </w:rPr>
        <w:t xml:space="preserve">Stigonema </w:t>
      </w:r>
      <w:r>
        <w:rPr>
          <w:i/>
          <w:iCs w:val="false"/>
          <w:lang w:val="en-US"/>
        </w:rPr>
        <w:t>nifH</w:t>
      </w:r>
      <w:r>
        <w:rPr>
          <w:i w:val="false"/>
          <w:iCs w:val="false"/>
          <w:lang w:val="en-US"/>
        </w:rPr>
        <w:t xml:space="preserve"> cluster within </w:t>
      </w:r>
      <w:r>
        <w:rPr>
          <w:i/>
          <w:iCs w:val="false"/>
          <w:lang w:val="en-US"/>
        </w:rPr>
        <w:t>Nostoc</w:t>
      </w:r>
      <w:r>
        <w:rPr>
          <w:i w:val="false"/>
          <w:iCs w:val="false"/>
          <w:lang w:val="en-US"/>
        </w:rPr>
        <w:t xml:space="preserve"> cluster I. </w:t>
      </w:r>
      <w:r>
        <w:rPr>
          <w:i/>
          <w:iCs/>
          <w:lang w:val="en-US"/>
        </w:rPr>
        <w:t xml:space="preserve">Zygodon- </w:t>
      </w:r>
      <w:r>
        <w:rPr>
          <w:i w:val="false"/>
          <w:iCs w:val="false"/>
          <w:lang w:val="en-US"/>
        </w:rPr>
        <w:t xml:space="preserve">and </w:t>
      </w:r>
      <w:r>
        <w:rPr>
          <w:i/>
          <w:iCs/>
          <w:lang w:val="en-US"/>
        </w:rPr>
        <w:t>Homalia-</w:t>
      </w:r>
      <w:r>
        <w:rPr>
          <w:i w:val="false"/>
          <w:iCs w:val="false"/>
          <w:lang w:val="en-US"/>
        </w:rPr>
        <w:t xml:space="preserve">associated cultures each appeared to host 3 alternative nitrogenases, </w:t>
      </w:r>
      <w:r>
        <w:rPr>
          <w:i w:val="false"/>
          <w:iCs w:val="false"/>
          <w:lang w:val="en-US"/>
        </w:rPr>
        <w:t>several</w:t>
      </w:r>
      <w:r>
        <w:rPr>
          <w:i w:val="false"/>
          <w:iCs w:val="false"/>
          <w:lang w:val="en-US"/>
        </w:rPr>
        <w:t xml:space="preserve"> of which</w:t>
      </w:r>
      <w:r>
        <w:rPr>
          <w:i w:val="false"/>
          <w:iCs w:val="false"/>
          <w:lang w:val="en-US"/>
        </w:rPr>
        <w:t xml:space="preserve"> showed homology respectively with alternate </w:t>
      </w:r>
      <w:r>
        <w:rPr>
          <w:i/>
          <w:iCs/>
          <w:lang w:val="en-US"/>
        </w:rPr>
        <w:t>nifH</w:t>
      </w:r>
      <w:r>
        <w:rPr>
          <w:i w:val="false"/>
          <w:iCs w:val="false"/>
          <w:lang w:val="en-US"/>
        </w:rPr>
        <w:t xml:space="preserve"> </w:t>
      </w:r>
      <w:r>
        <w:rPr>
          <w:i w:val="false"/>
          <w:iCs w:val="false"/>
          <w:lang w:val="en-US"/>
        </w:rPr>
        <w:t xml:space="preserve">sequences extracted from the reference genome of </w:t>
      </w:r>
      <w:r>
        <w:rPr>
          <w:i/>
          <w:iCs/>
          <w:lang w:val="en-US"/>
        </w:rPr>
        <w:t xml:space="preserve">Nostoc punctiforme PCC 73102 / ATCC 29133 </w:t>
      </w:r>
      <w:r>
        <w:rPr>
          <w:i w:val="false"/>
          <w:iCs w:val="false"/>
          <w:lang w:val="en-US"/>
        </w:rPr>
        <w:t xml:space="preserve">(supp. fig. ___). </w:t>
      </w:r>
      <w:r>
        <w:rPr>
          <w:i w:val="false"/>
          <w:iCs w:val="false"/>
          <w:lang w:val="en-US"/>
        </w:rPr>
        <w:t>In each case, these observed alternate</w:t>
      </w:r>
      <w:r>
        <w:rPr>
          <w:i/>
          <w:iCs/>
          <w:lang w:val="en-US"/>
        </w:rPr>
        <w:t xml:space="preserve"> nifH </w:t>
      </w:r>
      <w:r>
        <w:rPr>
          <w:i w:val="false"/>
          <w:iCs w:val="false"/>
          <w:lang w:val="en-US"/>
        </w:rPr>
        <w:t>versions were placed into</w:t>
      </w:r>
      <w:r>
        <w:rPr>
          <w:i w:val="false"/>
          <w:iCs w:val="false"/>
          <w:lang w:val="en-US"/>
        </w:rPr>
        <w:t xml:space="preserve"> separate clade</w:t>
      </w:r>
      <w:r>
        <w:rPr>
          <w:i w:val="false"/>
          <w:iCs w:val="false"/>
          <w:lang w:val="en-US"/>
        </w:rPr>
        <w:t>s</w:t>
      </w:r>
      <w:r>
        <w:rPr>
          <w:i w:val="false"/>
          <w:iCs w:val="false"/>
          <w:lang w:val="en-US"/>
        </w:rPr>
        <w:t xml:space="preserve"> on the Kubota-Ininbergs </w:t>
      </w:r>
      <w:r>
        <w:rPr>
          <w:i/>
          <w:iCs w:val="false"/>
          <w:lang w:val="en-US"/>
        </w:rPr>
        <w:t>nifH</w:t>
      </w:r>
      <w:r>
        <w:rPr>
          <w:i w:val="false"/>
          <w:iCs w:val="false"/>
          <w:lang w:val="en-US"/>
        </w:rPr>
        <w:t xml:space="preserve"> tree, </w:t>
      </w:r>
      <w:r>
        <w:rPr>
          <w:i w:val="false"/>
          <w:iCs w:val="false"/>
          <w:lang w:val="en-US"/>
        </w:rPr>
        <w:t xml:space="preserve">even though originating from a single colony, and likely from single strain of </w:t>
      </w:r>
      <w:r>
        <w:rPr>
          <w:i/>
          <w:iCs/>
          <w:lang w:val="en-US"/>
        </w:rPr>
        <w:t>Nostoc-</w:t>
      </w:r>
      <w:r>
        <w:rPr>
          <w:i w:val="false"/>
          <w:iCs w:val="false"/>
          <w:lang w:val="en-US"/>
        </w:rPr>
        <w:t>like organism</w:t>
      </w:r>
      <w:r>
        <w:rPr>
          <w:i w:val="false"/>
          <w:iCs w:val="false"/>
          <w:lang w:val="en-US"/>
        </w:rPr>
        <w:t xml:space="preserve">. Far fewer high-quality </w:t>
      </w:r>
      <w:r>
        <w:rPr>
          <w:i/>
          <w:iCs w:val="false"/>
          <w:lang w:val="en-US"/>
        </w:rPr>
        <w:t>nifH</w:t>
      </w:r>
      <w:r>
        <w:rPr>
          <w:i w:val="false"/>
          <w:iCs w:val="false"/>
          <w:lang w:val="en-US"/>
        </w:rPr>
        <w:t xml:space="preserve"> sequences were recovered from the culture of our </w:t>
      </w:r>
      <w:r>
        <w:rPr>
          <w:i/>
          <w:iCs/>
          <w:lang w:val="en-US"/>
        </w:rPr>
        <w:t>Hylocomium-</w:t>
      </w:r>
      <w:r>
        <w:rPr>
          <w:i w:val="false"/>
          <w:iCs w:val="false"/>
          <w:lang w:val="en-US"/>
        </w:rPr>
        <w:t xml:space="preserve">associated </w:t>
      </w:r>
      <w:r>
        <w:rPr>
          <w:i/>
          <w:iCs/>
          <w:lang w:val="en-US"/>
        </w:rPr>
        <w:t>Nostoc</w:t>
      </w:r>
      <w:r>
        <w:rPr>
          <w:i w:val="false"/>
          <w:iCs w:val="false"/>
          <w:lang w:val="en-US"/>
        </w:rPr>
        <w:t xml:space="preserve">-like organism, in comparision to our two other </w:t>
      </w:r>
      <w:r>
        <w:rPr>
          <w:i/>
          <w:iCs/>
          <w:lang w:val="en-US"/>
        </w:rPr>
        <w:t>Nostoc-</w:t>
      </w:r>
      <w:r>
        <w:rPr>
          <w:i w:val="false"/>
          <w:iCs w:val="false"/>
          <w:lang w:val="en-US"/>
        </w:rPr>
        <w:t xml:space="preserve">like cultures (supp. Fig </w:t>
      </w:r>
      <w:r>
        <w:rPr>
          <w:i w:val="false"/>
          <w:iCs w:val="false"/>
          <w:lang w:val="en-US"/>
        </w:rPr>
        <w:t>___</w:t>
      </w:r>
      <w:r>
        <w:rPr>
          <w:i w:val="false"/>
          <w:iCs w:val="false"/>
          <w:lang w:val="en-US"/>
        </w:rPr>
        <w:t>1</w:t>
      </w:r>
      <w:r>
        <w:rPr>
          <w:i w:val="false"/>
          <w:iCs w:val="false"/>
          <w:lang w:val="en-US"/>
        </w:rPr>
        <w:t>___</w:t>
      </w:r>
      <w:r>
        <w:rPr>
          <w:i w:val="false"/>
          <w:iCs w:val="false"/>
          <w:lang w:val="en-US"/>
        </w:rPr>
        <w:t xml:space="preserve">), but these were sufficient to generate a single candidate consensus sequence for </w:t>
      </w:r>
      <w:r>
        <w:rPr>
          <w:i/>
          <w:iCs w:val="false"/>
          <w:lang w:val="en-US"/>
        </w:rPr>
        <w:t>nifH</w:t>
      </w:r>
      <w:r>
        <w:rPr>
          <w:i w:val="false"/>
          <w:iCs w:val="false"/>
          <w:lang w:val="en-US"/>
        </w:rPr>
        <w:t xml:space="preserve"> in this organism. </w:t>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4890135"/>
            <wp:effectExtent l="0" t="0" r="0" b="0"/>
            <wp:wrapSquare wrapText="largest"/>
            <wp:docPr id="1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title=""/>
                    <pic:cNvPicPr>
                      <a:picLocks noChangeAspect="1" noChangeArrowheads="1"/>
                    </pic:cNvPicPr>
                  </pic:nvPicPr>
                  <pic:blipFill>
                    <a:blip r:embed="rId19"/>
                    <a:stretch>
                      <a:fillRect/>
                    </a:stretch>
                  </pic:blipFill>
                  <pic:spPr bwMode="auto">
                    <a:xfrm>
                      <a:off x="0" y="0"/>
                      <a:ext cx="5943600" cy="4890135"/>
                    </a:xfrm>
                    <a:prstGeom prst="rect">
                      <a:avLst/>
                    </a:prstGeom>
                  </pic:spPr>
                </pic:pic>
              </a:graphicData>
            </a:graphic>
          </wp:anchor>
        </w:drawing>
      </w:r>
    </w:p>
    <w:p>
      <w:pPr>
        <w:pStyle w:val="Normal"/>
        <w:suppressLineNumbers/>
        <w:rPr/>
      </w:pPr>
      <w:r>
        <w:rPr>
          <w:b/>
          <w:bCs/>
          <w:sz w:val="16"/>
          <w:szCs w:val="16"/>
          <w:lang w:val="en-US"/>
        </w:rPr>
        <w:t>Figure 9</w:t>
      </w:r>
      <w:r>
        <w:rPr>
          <w:sz w:val="16"/>
          <w:szCs w:val="16"/>
          <w:lang w:val="en-US"/>
        </w:rPr>
        <w:t xml:space="preserve">. </w:t>
      </w:r>
      <w:r>
        <w:rPr>
          <w:i/>
          <w:sz w:val="16"/>
          <w:szCs w:val="16"/>
          <w:lang w:val="en-US"/>
        </w:rPr>
        <w:t>nifH</w:t>
      </w:r>
      <w:r>
        <w:rPr>
          <w:sz w:val="16"/>
          <w:szCs w:val="16"/>
          <w:lang w:val="en-US"/>
        </w:rPr>
        <w:t xml:space="preserve"> gene phylogeny of select members of </w:t>
      </w:r>
      <w:r>
        <w:rPr>
          <w:i/>
          <w:sz w:val="16"/>
          <w:szCs w:val="16"/>
          <w:lang w:val="en-US"/>
        </w:rPr>
        <w:t>Nostoc</w:t>
      </w:r>
      <w:r>
        <w:rPr>
          <w:sz w:val="16"/>
          <w:szCs w:val="16"/>
          <w:lang w:val="en-US"/>
        </w:rPr>
        <w:t xml:space="preserve">eae. Tree is constructed from de novo alignment of </w:t>
      </w:r>
      <w:r>
        <w:rPr>
          <w:i/>
          <w:sz w:val="16"/>
          <w:szCs w:val="16"/>
          <w:lang w:val="en-US"/>
        </w:rPr>
        <w:t>nifH</w:t>
      </w:r>
      <w:r>
        <w:rPr>
          <w:sz w:val="16"/>
          <w:szCs w:val="16"/>
          <w:lang w:val="en-US"/>
        </w:rPr>
        <w:t xml:space="preserve"> sequences detected in this study from </w:t>
      </w:r>
      <w:r>
        <w:rPr>
          <w:i/>
          <w:iCs/>
          <w:sz w:val="16"/>
          <w:szCs w:val="16"/>
          <w:lang w:val="en-US"/>
        </w:rPr>
        <w:t>Nostoc-</w:t>
      </w:r>
      <w:r>
        <w:rPr>
          <w:i w:val="false"/>
          <w:iCs w:val="false"/>
          <w:sz w:val="16"/>
          <w:szCs w:val="16"/>
          <w:lang w:val="en-US"/>
        </w:rPr>
        <w:t xml:space="preserve">like organisms (green) and reference sequences from Ininbergs et al. (2011) and Kubota et al. (2023). </w:t>
      </w:r>
      <w:r>
        <w:rPr>
          <w:i/>
          <w:iCs/>
          <w:sz w:val="16"/>
          <w:szCs w:val="16"/>
          <w:lang w:val="en-US"/>
        </w:rPr>
        <w:t>Zygodon</w:t>
      </w:r>
      <w:r>
        <w:rPr>
          <w:i w:val="false"/>
          <w:iCs w:val="false"/>
          <w:sz w:val="16"/>
          <w:szCs w:val="16"/>
          <w:lang w:val="en-US"/>
        </w:rPr>
        <w:t xml:space="preserve">- and </w:t>
      </w:r>
      <w:r>
        <w:rPr>
          <w:i/>
          <w:iCs/>
          <w:sz w:val="16"/>
          <w:szCs w:val="16"/>
          <w:lang w:val="en-US"/>
        </w:rPr>
        <w:t>Homalia</w:t>
      </w:r>
      <w:r>
        <w:rPr>
          <w:i w:val="false"/>
          <w:iCs w:val="false"/>
          <w:sz w:val="16"/>
          <w:szCs w:val="16"/>
          <w:lang w:val="en-US"/>
        </w:rPr>
        <w:t xml:space="preserve">-associated </w:t>
      </w:r>
      <w:r>
        <w:rPr>
          <w:i/>
          <w:iCs/>
          <w:sz w:val="16"/>
          <w:szCs w:val="16"/>
          <w:lang w:val="en-US"/>
        </w:rPr>
        <w:t>Nostoc-</w:t>
      </w:r>
      <w:r>
        <w:rPr>
          <w:i w:val="false"/>
          <w:iCs w:val="false"/>
          <w:sz w:val="16"/>
          <w:szCs w:val="16"/>
          <w:lang w:val="en-US"/>
        </w:rPr>
        <w:t xml:space="preserve">like organisms both hosted multiple distinct copies of </w:t>
      </w:r>
      <w:r>
        <w:rPr>
          <w:i/>
          <w:iCs w:val="false"/>
          <w:sz w:val="16"/>
          <w:szCs w:val="16"/>
          <w:lang w:val="en-US"/>
        </w:rPr>
        <w:t>nifH</w:t>
      </w:r>
      <w:r>
        <w:rPr>
          <w:i w:val="false"/>
          <w:iCs w:val="false"/>
          <w:sz w:val="16"/>
          <w:szCs w:val="16"/>
          <w:lang w:val="en-US"/>
        </w:rPr>
        <w:t xml:space="preserve">. </w:t>
      </w:r>
      <w:r>
        <w:rPr>
          <w:i w:val="false"/>
          <w:iCs w:val="false"/>
          <w:sz w:val="16"/>
          <w:szCs w:val="16"/>
          <w:lang w:val="en-US"/>
        </w:rPr>
        <w:t xml:space="preserve">Branch lengths are proportionate to expected number of nucleotide substitutions per site. </w:t>
      </w:r>
      <w:r>
        <w:rPr>
          <w:i w:val="false"/>
          <w:iCs w:val="false"/>
          <w:sz w:val="16"/>
          <w:szCs w:val="16"/>
          <w:lang w:val="en-US"/>
        </w:rPr>
        <w:t xml:space="preserve">Branch support values are Shimodaira-Hasegawa (SH) test values, ranging from 0 (low confidence) to 1 (high-confidence). </w:t>
      </w:r>
      <w:r>
        <w:rPr>
          <w:i w:val="false"/>
          <w:iCs w:val="false"/>
          <w:sz w:val="16"/>
          <w:szCs w:val="16"/>
          <w:lang w:val="en-US"/>
        </w:rPr>
        <w:t>Full-size tree with all clades expanded, including placement of “</w:t>
      </w:r>
      <w:r>
        <w:rPr>
          <w:i/>
          <w:iCs w:val="false"/>
          <w:sz w:val="16"/>
          <w:szCs w:val="16"/>
          <w:lang w:val="en-US"/>
        </w:rPr>
        <w:t>Stigonema</w:t>
      </w:r>
      <w:r>
        <w:rPr>
          <w:i w:val="false"/>
          <w:iCs w:val="false"/>
          <w:sz w:val="16"/>
          <w:szCs w:val="16"/>
          <w:lang w:val="en-US"/>
        </w:rPr>
        <w:t xml:space="preserve"> Cluster”, is available as Supp. Fig. </w:t>
      </w:r>
      <w:r>
        <w:rPr>
          <w:i w:val="false"/>
          <w:iCs w:val="false"/>
          <w:sz w:val="16"/>
          <w:szCs w:val="16"/>
          <w:lang w:val="en-US"/>
        </w:rPr>
        <w:t>___</w:t>
      </w:r>
      <w:r>
        <w:rPr>
          <w:i w:val="false"/>
          <w:iCs w:val="false"/>
          <w:sz w:val="16"/>
          <w:szCs w:val="16"/>
          <w:lang w:val="en-US"/>
        </w:rPr>
        <w:t>2</w:t>
      </w:r>
      <w:r>
        <w:rPr>
          <w:i w:val="false"/>
          <w:iCs w:val="false"/>
          <w:sz w:val="16"/>
          <w:szCs w:val="16"/>
          <w:lang w:val="en-US"/>
        </w:rPr>
        <w:t>____</w:t>
      </w:r>
      <w:r>
        <w:rPr>
          <w:i w:val="false"/>
          <w:iCs w:val="false"/>
          <w:sz w:val="16"/>
          <w:szCs w:val="16"/>
          <w:lang w:val="en-US"/>
        </w:rPr>
        <w:t xml:space="preserve">.  </w:t>
      </w:r>
    </w:p>
    <w:p>
      <w:pPr>
        <w:pStyle w:val="Heading3"/>
        <w:rPr/>
      </w:pPr>
      <w:r>
        <w:rPr>
          <w:lang w:val="en-US"/>
        </w:rPr>
        <w:t xml:space="preserve">Phylogenetic placement of 16S genes from cultured </w:t>
      </w:r>
      <w:r>
        <w:rPr>
          <w:i/>
          <w:lang w:val="en-US"/>
        </w:rPr>
        <w:t>Nostoc</w:t>
      </w:r>
      <w:r>
        <w:rPr>
          <w:lang w:val="en-US"/>
        </w:rPr>
        <w:t>-like organisms</w:t>
      </w:r>
    </w:p>
    <w:p>
      <w:pPr>
        <w:pStyle w:val="Normal"/>
        <w:rPr>
          <w:lang w:val="en-US"/>
        </w:rPr>
      </w:pPr>
      <w:r>
        <w:rPr>
          <w:lang w:val="en-US"/>
        </w:rPr>
      </w:r>
    </w:p>
    <w:p>
      <w:pPr>
        <w:pStyle w:val="Normal"/>
        <w:rPr/>
      </w:pPr>
      <w:r>
        <w:rPr>
          <w:lang w:val="en-US"/>
        </w:rPr>
        <w:t xml:space="preserve">Full-length 16S consensus sequences were determined for all 4 successfully cultured </w:t>
      </w:r>
      <w:r>
        <w:rPr>
          <w:i/>
          <w:iCs/>
          <w:lang w:val="en-US"/>
        </w:rPr>
        <w:t>Nostoc</w:t>
      </w:r>
      <w:r>
        <w:rPr>
          <w:i w:val="false"/>
          <w:iCs w:val="false"/>
          <w:lang w:val="en-US"/>
        </w:rPr>
        <w:t xml:space="preserve">-like organisms (Fig. 10, green circles). Only one consensus </w:t>
      </w:r>
      <w:r>
        <w:rPr>
          <w:i/>
          <w:iCs w:val="false"/>
          <w:lang w:val="en-US"/>
        </w:rPr>
        <w:t>Nostoc</w:t>
      </w:r>
      <w:r>
        <w:rPr>
          <w:i w:val="false"/>
          <w:iCs w:val="false"/>
          <w:lang w:val="en-US"/>
        </w:rPr>
        <w:t xml:space="preserve">aceae 16S sequence was detected for each of the cultures. In the case of </w:t>
      </w:r>
      <w:r>
        <w:rPr>
          <w:i/>
          <w:iCs/>
          <w:lang w:val="en-US"/>
        </w:rPr>
        <w:t>Pseudoamblystegium,</w:t>
      </w:r>
      <w:r>
        <w:rPr>
          <w:i w:val="false"/>
          <w:iCs w:val="false"/>
          <w:lang w:val="en-US"/>
        </w:rPr>
        <w:t xml:space="preserve"> 16S sequence data were overwhelmingly non-</w:t>
      </w:r>
      <w:r>
        <w:rPr>
          <w:i/>
          <w:iCs/>
          <w:lang w:val="en-US"/>
        </w:rPr>
        <w:t xml:space="preserve">Nostocaceae </w:t>
      </w:r>
      <w:r>
        <w:rPr>
          <w:i w:val="false"/>
          <w:iCs w:val="false"/>
          <w:lang w:val="en-US"/>
        </w:rPr>
        <w:t xml:space="preserve">cyanobacterial reads that were not identifiable beyond phylum-level (Cyanobacteriota), likely due to co-cultured cyanobacteria (see above). However some high-quality 16S reads remained for identification of the </w:t>
      </w:r>
      <w:r>
        <w:rPr>
          <w:i/>
          <w:iCs/>
          <w:lang w:val="en-US"/>
        </w:rPr>
        <w:t>Nostoc</w:t>
      </w:r>
      <w:r>
        <w:rPr>
          <w:i w:val="false"/>
          <w:iCs w:val="false"/>
          <w:lang w:val="en-US"/>
        </w:rPr>
        <w:t xml:space="preserve">-like organism originally observed for this sample.  </w:t>
      </w:r>
    </w:p>
    <w:p>
      <w:pPr>
        <w:pStyle w:val="Normal"/>
        <w:rPr>
          <w:i w:val="false"/>
          <w:i w:val="false"/>
          <w:iCs w:val="false"/>
          <w:lang w:val="en-US"/>
        </w:rPr>
      </w:pPr>
      <w:r>
        <w:rPr>
          <w:i w:val="false"/>
          <w:iCs w:val="false"/>
          <w:lang w:val="en-US"/>
        </w:rPr>
      </w:r>
    </w:p>
    <w:p>
      <w:pPr>
        <w:pStyle w:val="Normal"/>
        <w:rPr/>
      </w:pPr>
      <w:r>
        <w:rPr>
          <w:i w:val="false"/>
          <w:iCs w:val="false"/>
          <w:lang w:val="en-US"/>
        </w:rPr>
        <w:t xml:space="preserve">Observed </w:t>
      </w:r>
      <w:r>
        <w:rPr>
          <w:i/>
          <w:iCs/>
          <w:lang w:val="en-US"/>
        </w:rPr>
        <w:t>Nostoc</w:t>
      </w:r>
      <w:r>
        <w:rPr>
          <w:i w:val="false"/>
          <w:iCs w:val="false"/>
          <w:lang w:val="en-US"/>
        </w:rPr>
        <w:t xml:space="preserve">-like moss symbionts were placed throughout </w:t>
      </w:r>
      <w:r>
        <w:rPr>
          <w:i/>
          <w:iCs w:val="false"/>
          <w:lang w:val="en-US"/>
        </w:rPr>
        <w:t>Nostoc</w:t>
      </w:r>
      <w:r>
        <w:rPr>
          <w:i w:val="false"/>
          <w:iCs w:val="false"/>
          <w:lang w:val="en-US"/>
        </w:rPr>
        <w:t xml:space="preserve">aceae (Fig. 10, Table 2), though nearest neighbors were in several cases previously known symbionts: in </w:t>
      </w:r>
      <w:r>
        <w:rPr>
          <w:i/>
          <w:iCs/>
          <w:lang w:val="en-US"/>
        </w:rPr>
        <w:t>Pseudoamblystegium</w:t>
      </w:r>
      <w:r>
        <w:rPr>
          <w:lang w:val="en-US"/>
        </w:rPr>
        <w:t xml:space="preserve"> and </w:t>
      </w:r>
      <w:r>
        <w:rPr>
          <w:i/>
          <w:iCs/>
          <w:lang w:val="en-US"/>
        </w:rPr>
        <w:t xml:space="preserve">Hylocomium </w:t>
      </w:r>
      <w:r>
        <w:rPr>
          <w:i w:val="false"/>
          <w:iCs w:val="false"/>
          <w:lang w:val="en-US"/>
        </w:rPr>
        <w:t xml:space="preserve">mosses, the moss-associated </w:t>
      </w:r>
      <w:r>
        <w:rPr>
          <w:i/>
          <w:iCs/>
          <w:lang w:val="en-US"/>
        </w:rPr>
        <w:t xml:space="preserve">Nostoc </w:t>
      </w:r>
      <w:r>
        <w:rPr>
          <w:i w:val="false"/>
          <w:iCs w:val="false"/>
          <w:lang w:val="en-US"/>
        </w:rPr>
        <w:t xml:space="preserve">were closely related to endosymbionts of macrolichen-symbionts (Miura &amp; Yokota, 2006; Olsson et al., 2012) and the vascular plant </w:t>
      </w:r>
      <w:r>
        <w:rPr>
          <w:i/>
          <w:iCs/>
          <w:lang w:val="en-US"/>
        </w:rPr>
        <w:t xml:space="preserve">Gunnera magellanica </w:t>
      </w:r>
      <w:r>
        <w:rPr>
          <w:i w:val="false"/>
          <w:iCs w:val="false"/>
          <w:lang w:val="en-US"/>
        </w:rPr>
        <w:t xml:space="preserve">(Fernández-Martínez et al., 2013). For </w:t>
      </w:r>
      <w:r>
        <w:rPr>
          <w:i/>
          <w:iCs/>
          <w:lang w:val="en-US"/>
        </w:rPr>
        <w:t>Zygodon</w:t>
      </w:r>
      <w:r>
        <w:rPr>
          <w:lang w:val="en-US"/>
        </w:rPr>
        <w:t xml:space="preserve"> moss, the cyanobacterium we observed was most closely related to the recently described genus </w:t>
      </w:r>
      <w:r>
        <w:rPr>
          <w:i/>
          <w:iCs/>
          <w:lang w:val="en-US"/>
        </w:rPr>
        <w:t>Compacto</w:t>
      </w:r>
      <w:r>
        <w:rPr>
          <w:i/>
          <w:iCs/>
          <w:lang w:val="en-US"/>
        </w:rPr>
        <w:t>n</w:t>
      </w:r>
      <w:r>
        <w:rPr>
          <w:i/>
          <w:iCs/>
          <w:lang w:val="en-US"/>
        </w:rPr>
        <w:t>ostoc</w:t>
      </w:r>
      <w:r>
        <w:rPr>
          <w:lang w:val="en-US"/>
        </w:rPr>
        <w:t xml:space="preserve"> (Cai et al., 2019).  </w:t>
      </w:r>
      <w:r>
        <w:rPr>
          <w:i/>
          <w:iCs/>
          <w:lang w:val="en-US"/>
        </w:rPr>
        <w:t>C. shennongjiensis</w:t>
      </w:r>
      <w:r>
        <w:rPr>
          <w:lang w:val="en-US"/>
        </w:rPr>
        <w:t xml:space="preserve"> was reported as free living on rocks, another secondary habitat known for </w:t>
      </w:r>
      <w:r>
        <w:rPr>
          <w:i/>
          <w:iCs/>
          <w:lang w:val="en-US"/>
        </w:rPr>
        <w:t xml:space="preserve">Zygodon </w:t>
      </w:r>
      <w:r>
        <w:rPr>
          <w:lang w:val="en-US"/>
        </w:rPr>
        <w:t xml:space="preserve">species. For the moss </w:t>
      </w:r>
      <w:r>
        <w:rPr>
          <w:i/>
          <w:iCs/>
          <w:lang w:val="en-US"/>
        </w:rPr>
        <w:t>Homalia trichoman</w:t>
      </w:r>
      <w:r>
        <w:rPr>
          <w:i/>
          <w:iCs/>
          <w:lang w:val="en-US"/>
        </w:rPr>
        <w:t>oides</w:t>
      </w:r>
      <w:r>
        <w:rPr>
          <w:lang w:val="en-US"/>
        </w:rPr>
        <w:t xml:space="preserve">, the closest relative was the freshwater-dwelling </w:t>
      </w:r>
      <w:r>
        <w:rPr>
          <w:i/>
          <w:iCs/>
          <w:lang w:val="en-US"/>
        </w:rPr>
        <w:t>Nostoc pruniforme,</w:t>
      </w:r>
      <w:r>
        <w:rPr>
          <w:i w:val="false"/>
          <w:iCs w:val="false"/>
          <w:lang w:val="en-US"/>
        </w:rPr>
        <w:t xml:space="preserve"> as per Experimental Phycology and Culture Collection of Algae (SAG) strain 62.79, and other free-living </w:t>
      </w:r>
      <w:r>
        <w:rPr>
          <w:i/>
          <w:iCs/>
          <w:lang w:val="en-US"/>
        </w:rPr>
        <w:t>Nostoc</w:t>
      </w:r>
      <w:r>
        <w:rPr>
          <w:i w:val="false"/>
          <w:iCs w:val="false"/>
          <w:lang w:val="en-US"/>
        </w:rPr>
        <w:t xml:space="preserve"> strains. Closest matches to other 16S sequences from </w:t>
      </w:r>
      <w:r>
        <w:rPr>
          <w:i/>
          <w:iCs w:val="false"/>
          <w:lang w:val="en-US"/>
        </w:rPr>
        <w:t>Nostoc</w:t>
      </w:r>
      <w:r>
        <w:rPr>
          <w:i w:val="false"/>
          <w:iCs w:val="false"/>
          <w:lang w:val="en-US"/>
        </w:rPr>
        <w:t xml:space="preserve">aceae are shown in Table 2.  </w:t>
      </w:r>
    </w:p>
    <w:p>
      <w:pPr>
        <w:pStyle w:val="Normal"/>
        <w:rPr>
          <w:i w:val="false"/>
          <w:i w:val="false"/>
          <w:iCs w:val="false"/>
          <w:lang w:val="en-US"/>
        </w:rPr>
      </w:pPr>
      <w:r>
        <w:rPr>
          <w:i w:val="false"/>
          <w:iCs w:val="false"/>
          <w:lang w:val="en-US"/>
        </w:rPr>
      </w:r>
    </w:p>
    <w:p>
      <w:pPr>
        <w:pStyle w:val="Normal"/>
        <w:suppressLineNumbers/>
        <w:rPr/>
      </w:pPr>
      <w:r>
        <w:rPr>
          <w:b/>
          <w:bCs/>
          <w:i w:val="false"/>
          <w:iCs w:val="false"/>
          <w:sz w:val="16"/>
          <w:szCs w:val="16"/>
          <w:lang w:val="en-US"/>
        </w:rPr>
        <w:t>Table 2</w:t>
      </w:r>
      <w:r>
        <w:rPr>
          <w:i w:val="false"/>
          <w:iCs w:val="false"/>
          <w:sz w:val="16"/>
          <w:szCs w:val="16"/>
          <w:lang w:val="en-US"/>
        </w:rPr>
        <w:t xml:space="preserve">. Closest sister taxa to observed </w:t>
      </w:r>
      <w:r>
        <w:rPr>
          <w:i/>
          <w:iCs/>
          <w:sz w:val="16"/>
          <w:szCs w:val="16"/>
          <w:lang w:val="en-US"/>
        </w:rPr>
        <w:t>Nostoc-</w:t>
      </w:r>
      <w:r>
        <w:rPr>
          <w:i w:val="false"/>
          <w:iCs w:val="false"/>
          <w:sz w:val="16"/>
          <w:szCs w:val="16"/>
          <w:lang w:val="en-US"/>
        </w:rPr>
        <w:t xml:space="preserve">like organisms observed from mosses in this study, based on our de novo 16S tree of </w:t>
      </w:r>
      <w:r>
        <w:rPr>
          <w:i/>
          <w:iCs w:val="false"/>
          <w:sz w:val="16"/>
          <w:szCs w:val="16"/>
          <w:lang w:val="en-US"/>
        </w:rPr>
        <w:t>Nostoc</w:t>
      </w:r>
      <w:r>
        <w:rPr>
          <w:i w:val="false"/>
          <w:iCs w:val="false"/>
          <w:sz w:val="16"/>
          <w:szCs w:val="16"/>
          <w:lang w:val="en-US"/>
        </w:rPr>
        <w:t xml:space="preserve">aceae (Fig. 10). When a close match is available, only one taxa is listed. When a close match is not obvious, the two nearest neighbor taxa are listed. </w:t>
      </w:r>
    </w:p>
    <w:p>
      <w:pPr>
        <w:pStyle w:val="Normal"/>
        <w:suppressLineNumbers/>
        <w:rPr>
          <w:i w:val="false"/>
          <w:i w:val="false"/>
          <w:iCs w:val="false"/>
          <w:sz w:val="16"/>
          <w:szCs w:val="16"/>
          <w:lang w:val="en-US"/>
        </w:rPr>
      </w:pPr>
      <w:r>
        <w:rPr>
          <w:i w:val="false"/>
          <w:iCs w:val="false"/>
          <w:sz w:val="16"/>
          <w:szCs w:val="16"/>
          <w:lang w:val="en-US"/>
        </w:rPr>
      </w:r>
    </w:p>
    <w:tbl>
      <w:tblPr>
        <w:tblW w:w="9364" w:type="dxa"/>
        <w:jc w:val="start"/>
        <w:tblInd w:w="-60" w:type="dxa"/>
        <w:tblLayout w:type="fixed"/>
        <w:tblCellMar>
          <w:top w:w="0" w:type="dxa"/>
          <w:start w:w="30" w:type="dxa"/>
          <w:bottom w:w="0" w:type="dxa"/>
          <w:end w:w="30" w:type="dxa"/>
        </w:tblCellMar>
      </w:tblPr>
      <w:tblGrid>
        <w:gridCol w:w="2700"/>
        <w:gridCol w:w="3964"/>
        <w:gridCol w:w="2700"/>
      </w:tblGrid>
      <w:tr>
        <w:trPr>
          <w:trHeight w:val="925" w:hRule="atLeast"/>
        </w:trPr>
        <w:tc>
          <w:tcPr>
            <w:tcW w:w="2700" w:type="dxa"/>
            <w:tcBorders/>
            <w:vAlign w:val="center"/>
          </w:tcPr>
          <w:p>
            <w:pPr>
              <w:pStyle w:val="Normal"/>
              <w:tabs>
                <w:tab w:val="clear" w:pos="720"/>
              </w:tabs>
              <w:jc w:val="center"/>
              <w:rPr>
                <w:sz w:val="22"/>
                <w:szCs w:val="22"/>
              </w:rPr>
            </w:pPr>
            <w:r>
              <w:rPr>
                <w:i/>
                <w:iCs/>
                <w:sz w:val="22"/>
                <w:szCs w:val="22"/>
                <w:lang w:val="en-US"/>
              </w:rPr>
              <w:t>Nostoc</w:t>
            </w:r>
            <w:r>
              <w:rPr>
                <w:i w:val="false"/>
                <w:iCs w:val="false"/>
                <w:sz w:val="22"/>
                <w:szCs w:val="22"/>
                <w:lang w:val="en-US"/>
              </w:rPr>
              <w:t>-like orga</w:t>
            </w:r>
            <w:r>
              <w:rPr>
                <w:i w:val="false"/>
                <w:iCs w:val="false"/>
                <w:sz w:val="22"/>
                <w:szCs w:val="22"/>
                <w:lang w:val="en-US"/>
              </w:rPr>
              <w:t>nis</w:t>
            </w:r>
            <w:r>
              <w:rPr>
                <w:i w:val="false"/>
                <w:iCs w:val="false"/>
                <w:sz w:val="22"/>
                <w:szCs w:val="22"/>
                <w:lang w:val="en-US"/>
              </w:rPr>
              <w:t>m Sequence ID (Moss host)</w:t>
            </w:r>
          </w:p>
        </w:tc>
        <w:tc>
          <w:tcPr>
            <w:tcW w:w="3964" w:type="dxa"/>
            <w:tcBorders/>
            <w:vAlign w:val="center"/>
          </w:tcPr>
          <w:p>
            <w:pPr>
              <w:pStyle w:val="Normal"/>
              <w:tabs>
                <w:tab w:val="clear" w:pos="720"/>
              </w:tabs>
              <w:jc w:val="center"/>
              <w:rPr/>
            </w:pPr>
            <w:r>
              <w:rPr/>
              <w:t>Nearest neighbor sequence ID and description</w:t>
            </w:r>
          </w:p>
        </w:tc>
        <w:tc>
          <w:tcPr>
            <w:tcW w:w="2700" w:type="dxa"/>
            <w:tcBorders/>
            <w:vAlign w:val="center"/>
          </w:tcPr>
          <w:p>
            <w:pPr>
              <w:pStyle w:val="Normal"/>
              <w:tabs>
                <w:tab w:val="clear" w:pos="720"/>
              </w:tabs>
              <w:jc w:val="center"/>
              <w:rPr/>
            </w:pPr>
            <w:r>
              <w:rPr/>
              <w:t>Blastn alignment scores (identities, gaps)</w:t>
            </w:r>
          </w:p>
        </w:tc>
      </w:tr>
      <w:tr>
        <w:trPr>
          <w:trHeight w:val="477" w:hRule="atLeast"/>
        </w:trPr>
        <w:tc>
          <w:tcPr>
            <w:tcW w:w="2700" w:type="dxa"/>
            <w:tcBorders/>
            <w:vAlign w:val="center"/>
          </w:tcPr>
          <w:p>
            <w:pPr>
              <w:pStyle w:val="Normal"/>
              <w:tabs>
                <w:tab w:val="clear" w:pos="720"/>
              </w:tabs>
              <w:jc w:val="center"/>
              <w:rPr/>
            </w:pPr>
            <w:r>
              <w:rPr/>
              <w:t>PX869778 (</w:t>
            </w:r>
            <w:r>
              <w:rPr>
                <w:i/>
                <w:iCs/>
              </w:rPr>
              <w:t>Hylocomium</w:t>
            </w:r>
            <w:r>
              <w:rPr/>
              <w:t>)</w:t>
            </w:r>
          </w:p>
        </w:tc>
        <w:tc>
          <w:tcPr>
            <w:tcW w:w="3964" w:type="dxa"/>
            <w:tcBorders/>
            <w:vAlign w:val="bottom"/>
          </w:tcPr>
          <w:p>
            <w:pPr>
              <w:pStyle w:val="Normal"/>
              <w:tabs>
                <w:tab w:val="clear" w:pos="720"/>
              </w:tabs>
              <w:jc w:val="start"/>
              <w:rPr/>
            </w:pPr>
            <w:r>
              <w:rPr/>
              <w:t xml:space="preserve">JN847344 </w:t>
            </w:r>
            <w:r>
              <w:rPr>
                <w:i/>
                <w:iCs/>
              </w:rPr>
              <w:t>Leptogium</w:t>
            </w:r>
            <w:r>
              <w:rPr/>
              <w:t xml:space="preserve">-associated </w:t>
            </w:r>
            <w:r>
              <w:rPr>
                <w:i/>
                <w:iCs/>
              </w:rPr>
              <w:t>Nostoc</w:t>
            </w:r>
            <w:r>
              <w:rPr/>
              <w:t xml:space="preserve"> sp. (macrolichen symbiont)</w:t>
            </w:r>
          </w:p>
        </w:tc>
        <w:tc>
          <w:tcPr>
            <w:tcW w:w="2700" w:type="dxa"/>
            <w:tcBorders/>
            <w:vAlign w:val="center"/>
          </w:tcPr>
          <w:p>
            <w:pPr>
              <w:pStyle w:val="Normal"/>
              <w:tabs>
                <w:tab w:val="clear" w:pos="720"/>
              </w:tabs>
              <w:jc w:val="start"/>
              <w:rPr/>
            </w:pPr>
            <w:r>
              <w:rPr/>
              <w:t>1395/1405 (99%),  8 (1%)</w:t>
            </w:r>
          </w:p>
        </w:tc>
      </w:tr>
      <w:tr>
        <w:trPr>
          <w:trHeight w:val="477" w:hRule="atLeast"/>
        </w:trPr>
        <w:tc>
          <w:tcPr>
            <w:tcW w:w="2700" w:type="dxa"/>
            <w:tcBorders/>
            <w:vAlign w:val="center"/>
          </w:tcPr>
          <w:p>
            <w:pPr>
              <w:pStyle w:val="Normal"/>
              <w:tabs>
                <w:tab w:val="clear" w:pos="720"/>
              </w:tabs>
              <w:jc w:val="center"/>
              <w:rPr/>
            </w:pPr>
            <w:r>
              <w:rPr/>
              <w:t>PX856665 (</w:t>
            </w:r>
            <w:r>
              <w:rPr>
                <w:i/>
                <w:iCs/>
              </w:rPr>
              <w:t>Homalia</w:t>
            </w:r>
            <w:r>
              <w:rPr/>
              <w:t>)</w:t>
            </w:r>
          </w:p>
        </w:tc>
        <w:tc>
          <w:tcPr>
            <w:tcW w:w="3964" w:type="dxa"/>
            <w:tcBorders/>
            <w:vAlign w:val="bottom"/>
          </w:tcPr>
          <w:p>
            <w:pPr>
              <w:pStyle w:val="Normal"/>
              <w:tabs>
                <w:tab w:val="clear" w:pos="720"/>
              </w:tabs>
              <w:jc w:val="start"/>
              <w:rPr/>
            </w:pPr>
            <w:r>
              <w:rPr/>
              <w:t xml:space="preserve">KM019941 </w:t>
            </w:r>
            <w:r>
              <w:rPr>
                <w:i/>
                <w:iCs/>
              </w:rPr>
              <w:t>Nostoc</w:t>
            </w:r>
            <w:r>
              <w:rPr/>
              <w:t xml:space="preserve"> </w:t>
            </w:r>
            <w:r>
              <w:rPr>
                <w:i/>
                <w:iCs/>
              </w:rPr>
              <w:t>pruniforme</w:t>
            </w:r>
            <w:r>
              <w:rPr/>
              <w:t xml:space="preserve"> SAG 62.79 (freshwater, free-living)</w:t>
            </w:r>
          </w:p>
        </w:tc>
        <w:tc>
          <w:tcPr>
            <w:tcW w:w="2700" w:type="dxa"/>
            <w:tcBorders/>
            <w:vAlign w:val="center"/>
          </w:tcPr>
          <w:p>
            <w:pPr>
              <w:pStyle w:val="Normal"/>
              <w:tabs>
                <w:tab w:val="clear" w:pos="720"/>
              </w:tabs>
              <w:jc w:val="start"/>
              <w:rPr/>
            </w:pPr>
            <w:r>
              <w:rPr/>
              <w:t>1353/1383 (98%), 6 (0%)</w:t>
            </w:r>
          </w:p>
        </w:tc>
      </w:tr>
      <w:tr>
        <w:trPr>
          <w:trHeight w:val="701" w:hRule="atLeast"/>
        </w:trPr>
        <w:tc>
          <w:tcPr>
            <w:tcW w:w="2700" w:type="dxa"/>
            <w:tcBorders/>
            <w:vAlign w:val="center"/>
          </w:tcPr>
          <w:p>
            <w:pPr>
              <w:pStyle w:val="Normal"/>
              <w:tabs>
                <w:tab w:val="clear" w:pos="720"/>
              </w:tabs>
              <w:jc w:val="center"/>
              <w:rPr/>
            </w:pPr>
            <w:r>
              <w:rPr/>
              <w:t>PX856664 (</w:t>
            </w:r>
            <w:r>
              <w:rPr>
                <w:i/>
                <w:iCs/>
              </w:rPr>
              <w:t>Pseudoambylostegium</w:t>
            </w:r>
            <w:r>
              <w:rPr/>
              <w:t>)</w:t>
            </w:r>
          </w:p>
        </w:tc>
        <w:tc>
          <w:tcPr>
            <w:tcW w:w="3964" w:type="dxa"/>
            <w:tcBorders/>
            <w:vAlign w:val="bottom"/>
          </w:tcPr>
          <w:p>
            <w:pPr>
              <w:pStyle w:val="Normal"/>
              <w:tabs>
                <w:tab w:val="clear" w:pos="720"/>
              </w:tabs>
              <w:jc w:val="start"/>
              <w:rPr/>
            </w:pPr>
            <w:r>
              <w:rPr/>
              <w:t xml:space="preserve">AB275347 Unidentified cyanobacterium Ni1-C1 (unidentified-macrolichen symbiont), classified as likely </w:t>
            </w:r>
            <w:r>
              <w:rPr>
                <w:i/>
                <w:iCs/>
              </w:rPr>
              <w:t>Nostoc</w:t>
            </w:r>
            <w:r>
              <w:rPr/>
              <w:t xml:space="preserve"> by Cyanoseq</w:t>
            </w:r>
          </w:p>
        </w:tc>
        <w:tc>
          <w:tcPr>
            <w:tcW w:w="2700" w:type="dxa"/>
            <w:tcBorders/>
            <w:vAlign w:val="center"/>
          </w:tcPr>
          <w:p>
            <w:pPr>
              <w:pStyle w:val="Normal"/>
              <w:tabs>
                <w:tab w:val="clear" w:pos="720"/>
              </w:tabs>
              <w:jc w:val="start"/>
              <w:rPr/>
            </w:pPr>
            <w:r>
              <w:rPr/>
              <w:t>677/710 (95%), 11 (2%)</w:t>
            </w:r>
          </w:p>
        </w:tc>
      </w:tr>
      <w:tr>
        <w:trPr>
          <w:trHeight w:val="477" w:hRule="atLeast"/>
        </w:trPr>
        <w:tc>
          <w:tcPr>
            <w:tcW w:w="2700" w:type="dxa"/>
            <w:tcBorders/>
            <w:vAlign w:val="center"/>
          </w:tcPr>
          <w:p>
            <w:pPr>
              <w:pStyle w:val="Normal"/>
              <w:tabs>
                <w:tab w:val="clear" w:pos="720"/>
              </w:tabs>
              <w:jc w:val="center"/>
              <w:rPr/>
            </w:pPr>
            <w:r>
              <w:rPr/>
              <w:t>PX856666 (</w:t>
            </w:r>
            <w:r>
              <w:rPr>
                <w:i/>
                <w:iCs/>
              </w:rPr>
              <w:t>Zygodon</w:t>
            </w:r>
            <w:r>
              <w:rPr/>
              <w:t>)</w:t>
            </w:r>
          </w:p>
        </w:tc>
        <w:tc>
          <w:tcPr>
            <w:tcW w:w="3964" w:type="dxa"/>
            <w:tcBorders/>
            <w:vAlign w:val="bottom"/>
          </w:tcPr>
          <w:p>
            <w:pPr>
              <w:pStyle w:val="Normal"/>
              <w:tabs>
                <w:tab w:val="clear" w:pos="720"/>
              </w:tabs>
              <w:jc w:val="start"/>
              <w:rPr/>
            </w:pPr>
            <w:r>
              <w:rPr/>
              <w:t xml:space="preserve">MH598843 </w:t>
            </w:r>
            <w:r>
              <w:rPr>
                <w:i/>
                <w:iCs/>
              </w:rPr>
              <w:t>Compactonostoc</w:t>
            </w:r>
            <w:r>
              <w:rPr/>
              <w:t xml:space="preserve"> </w:t>
            </w:r>
            <w:r>
              <w:rPr>
                <w:i/>
                <w:iCs/>
              </w:rPr>
              <w:t>shennongjiaensis</w:t>
            </w:r>
            <w:r>
              <w:rPr/>
              <w:t xml:space="preserve"> (Free-living on rocks)</w:t>
            </w:r>
          </w:p>
        </w:tc>
        <w:tc>
          <w:tcPr>
            <w:tcW w:w="2700" w:type="dxa"/>
            <w:tcBorders/>
            <w:vAlign w:val="center"/>
          </w:tcPr>
          <w:p>
            <w:pPr>
              <w:pStyle w:val="Normal"/>
              <w:tabs>
                <w:tab w:val="clear" w:pos="720"/>
              </w:tabs>
              <w:jc w:val="start"/>
              <w:rPr/>
            </w:pPr>
            <w:r>
              <w:rPr/>
              <w:t>1150/1168 (98%), 8 (1%)</w:t>
            </w:r>
          </w:p>
        </w:tc>
      </w:tr>
      <w:tr>
        <w:trPr>
          <w:trHeight w:val="477" w:hRule="atLeast"/>
        </w:trPr>
        <w:tc>
          <w:tcPr>
            <w:tcW w:w="2700" w:type="dxa"/>
            <w:tcBorders/>
            <w:vAlign w:val="center"/>
          </w:tcPr>
          <w:p>
            <w:pPr>
              <w:pStyle w:val="Normal"/>
              <w:tabs>
                <w:tab w:val="clear" w:pos="720"/>
              </w:tabs>
              <w:jc w:val="center"/>
              <w:rPr/>
            </w:pPr>
            <w:r>
              <w:rPr/>
              <w:t>PX869778 (</w:t>
            </w:r>
            <w:r>
              <w:rPr>
                <w:i/>
                <w:iCs/>
              </w:rPr>
              <w:t>Hylocomium</w:t>
            </w:r>
            <w:r>
              <w:rPr/>
              <w:t>)</w:t>
            </w:r>
          </w:p>
        </w:tc>
        <w:tc>
          <w:tcPr>
            <w:tcW w:w="3964" w:type="dxa"/>
            <w:tcBorders/>
            <w:vAlign w:val="bottom"/>
          </w:tcPr>
          <w:p>
            <w:pPr>
              <w:pStyle w:val="Normal"/>
              <w:tabs>
                <w:tab w:val="clear" w:pos="720"/>
              </w:tabs>
              <w:jc w:val="start"/>
              <w:rPr/>
            </w:pPr>
            <w:r>
              <w:rPr/>
              <w:t>KU219709 “</w:t>
            </w:r>
            <w:r>
              <w:rPr>
                <w:i/>
                <w:iCs/>
              </w:rPr>
              <w:t>Nostoc</w:t>
            </w:r>
            <w:r>
              <w:rPr/>
              <w:t xml:space="preserve">” sp., unpublished, classified as likely </w:t>
            </w:r>
            <w:r>
              <w:rPr>
                <w:i/>
                <w:iCs/>
              </w:rPr>
              <w:t>Compactonostoc</w:t>
            </w:r>
            <w:r>
              <w:rPr/>
              <w:t xml:space="preserve"> by Cyanoseq</w:t>
            </w:r>
          </w:p>
        </w:tc>
        <w:tc>
          <w:tcPr>
            <w:tcW w:w="2700" w:type="dxa"/>
            <w:tcBorders/>
            <w:vAlign w:val="center"/>
          </w:tcPr>
          <w:p>
            <w:pPr>
              <w:pStyle w:val="Normal"/>
              <w:tabs>
                <w:tab w:val="clear" w:pos="720"/>
              </w:tabs>
              <w:jc w:val="start"/>
              <w:rPr/>
            </w:pPr>
            <w:r>
              <w:rPr/>
              <w:t>904/915 (99%), 6 (1%)</w:t>
            </w:r>
          </w:p>
        </w:tc>
      </w:tr>
    </w:tbl>
    <w:p>
      <w:pPr>
        <w:pStyle w:val="Normal"/>
        <w:rPr/>
      </w:pPr>
      <w:r>
        <w:rPr/>
      </w:r>
    </w:p>
    <w:p>
      <w:pPr>
        <w:pStyle w:val="Normal"/>
        <w:suppressLineNumbers/>
        <w:rPr>
          <w:i w:val="false"/>
          <w:i w:val="false"/>
          <w:iCs w:val="false"/>
          <w:sz w:val="16"/>
          <w:szCs w:val="16"/>
          <w:lang w:val="en-US"/>
        </w:rPr>
      </w:pPr>
      <w:r>
        <w:rPr>
          <w:i w:val="false"/>
          <w:iCs w:val="false"/>
          <w:sz w:val="16"/>
          <w:szCs w:val="16"/>
          <w:lang w:val="en-US"/>
        </w:rPr>
      </w:r>
    </w:p>
    <w:p>
      <w:pPr>
        <w:pStyle w:val="Normal"/>
        <w:ind w:hanging="0" w:start="0" w:end="0"/>
        <w:rPr/>
      </w:pPr>
      <w:r>
        <w:rPr/>
      </w:r>
    </w:p>
    <w:p>
      <w:pPr>
        <w:pStyle w:val="Normal"/>
        <w:rPr>
          <w:b/>
          <w:bCs/>
          <w:sz w:val="16"/>
          <w:szCs w:val="16"/>
          <w:lang w:val="en-US"/>
        </w:rPr>
      </w:pPr>
      <w:r>
        <w:rPr>
          <w:b/>
          <w:bCs/>
          <w:sz w:val="16"/>
          <w:szCs w:val="16"/>
          <w:lang w:val="en-US"/>
        </w:rPr>
      </w:r>
    </w:p>
    <w:p>
      <w:pPr>
        <w:pStyle w:val="Normal"/>
        <w:suppressLineNumbers/>
        <w:rPr/>
      </w:pPr>
      <w:r>
        <w:rPr/>
      </w:r>
    </w:p>
    <w:p>
      <w:pPr>
        <w:pStyle w:val="Normal"/>
        <w:suppressLineNumber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5389245"/>
            <wp:effectExtent l="0" t="0" r="0" b="0"/>
            <wp:wrapSquare wrapText="largest"/>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20"/>
                    <a:stretch>
                      <a:fillRect/>
                    </a:stretch>
                  </pic:blipFill>
                  <pic:spPr bwMode="auto">
                    <a:xfrm>
                      <a:off x="0" y="0"/>
                      <a:ext cx="5943600" cy="5389245"/>
                    </a:xfrm>
                    <a:prstGeom prst="rect">
                      <a:avLst/>
                    </a:prstGeom>
                  </pic:spPr>
                </pic:pic>
              </a:graphicData>
            </a:graphic>
          </wp:anchor>
        </w:drawing>
      </w:r>
      <w:r>
        <w:rPr>
          <w:b/>
          <w:bCs/>
          <w:sz w:val="16"/>
          <w:szCs w:val="16"/>
          <w:lang w:val="en-US"/>
        </w:rPr>
        <w:t>Figure 10</w:t>
      </w:r>
      <w:r>
        <w:rPr>
          <w:sz w:val="16"/>
          <w:szCs w:val="16"/>
          <w:lang w:val="en-US"/>
        </w:rPr>
        <w:t xml:space="preserve">. De novo 16s Nostaceae phylogeny constructed from </w:t>
      </w:r>
      <w:r>
        <w:rPr>
          <w:rFonts w:eastAsia="Arial" w:cs="Arial"/>
          <w:i w:val="false"/>
          <w:iCs w:val="false"/>
          <w:sz w:val="16"/>
          <w:szCs w:val="16"/>
          <w:lang w:val="en-US"/>
        </w:rPr>
        <w:t xml:space="preserve">856 full length 16S sequences from the Cyanoseq database (see methods), selected additional reference sequences, and four 16S consensus sequences from moss-associated </w:t>
      </w:r>
      <w:r>
        <w:rPr>
          <w:rFonts w:eastAsia="Arial" w:cs="Arial"/>
          <w:i/>
          <w:iCs/>
          <w:sz w:val="16"/>
          <w:szCs w:val="16"/>
          <w:lang w:val="en-US"/>
        </w:rPr>
        <w:t>Nostoc</w:t>
      </w:r>
      <w:r>
        <w:rPr>
          <w:rFonts w:eastAsia="Arial" w:cs="Arial"/>
          <w:i w:val="false"/>
          <w:iCs w:val="false"/>
          <w:sz w:val="16"/>
          <w:szCs w:val="16"/>
          <w:lang w:val="en-US"/>
        </w:rPr>
        <w:t>-like organisms from the present study (green circles).</w:t>
      </w:r>
      <w:r>
        <w:rPr>
          <w:rFonts w:eastAsia="Arial" w:cs="Arial"/>
          <w:i/>
          <w:iCs/>
          <w:sz w:val="16"/>
          <w:szCs w:val="16"/>
          <w:lang w:val="en-US"/>
        </w:rPr>
        <w:t xml:space="preserve"> </w:t>
      </w:r>
      <w:r>
        <w:rPr>
          <w:rFonts w:eastAsia="Arial" w:cs="Arial"/>
          <w:i w:val="false"/>
          <w:iCs w:val="false"/>
          <w:sz w:val="16"/>
          <w:szCs w:val="16"/>
          <w:lang w:val="en-US"/>
        </w:rPr>
        <w:t xml:space="preserve">Nearest neighbors to moss-associated </w:t>
      </w:r>
      <w:r>
        <w:rPr>
          <w:rFonts w:eastAsia="Arial" w:cs="Arial"/>
          <w:i/>
          <w:iCs/>
          <w:sz w:val="16"/>
          <w:szCs w:val="16"/>
          <w:lang w:val="en-US"/>
        </w:rPr>
        <w:t>Nostoc</w:t>
      </w:r>
      <w:r>
        <w:rPr>
          <w:rFonts w:eastAsia="Arial" w:cs="Arial"/>
          <w:i w:val="false"/>
          <w:iCs w:val="false"/>
          <w:sz w:val="16"/>
          <w:szCs w:val="16"/>
          <w:lang w:val="en-US"/>
        </w:rPr>
        <w:t xml:space="preserve">-like organisms are shown by smaller red circles, and selected additional reference sequences are labeled by gray circles. </w:t>
      </w:r>
    </w:p>
    <w:p>
      <w:pPr>
        <w:pStyle w:val="Heading1"/>
        <w:rPr/>
      </w:pPr>
      <w:bookmarkStart w:id="10" w:name="_3jadrjpzown5"/>
      <w:bookmarkEnd w:id="10"/>
      <w:r>
        <w:rPr/>
        <w:t>Discussion</w:t>
      </w:r>
    </w:p>
    <w:p>
      <w:pPr>
        <w:pStyle w:val="Normal"/>
        <w:rPr/>
      </w:pPr>
      <w:r>
        <w:rPr>
          <w:rFonts w:eastAsia="Arial" w:cs="Arial"/>
          <w:sz w:val="22"/>
          <w:szCs w:val="22"/>
          <w:lang w:val="en-US"/>
        </w:rPr>
        <w:t xml:space="preserve">Here we have documented additional instances symbioses of </w:t>
      </w:r>
      <w:r>
        <w:rPr>
          <w:rFonts w:eastAsia="Arial" w:cs="Arial"/>
          <w:i/>
          <w:iCs/>
          <w:sz w:val="22"/>
          <w:szCs w:val="22"/>
          <w:lang w:val="en-US"/>
        </w:rPr>
        <w:t>Nostoc</w:t>
      </w:r>
      <w:r>
        <w:rPr>
          <w:rFonts w:eastAsia="Arial" w:cs="Arial"/>
          <w:i w:val="false"/>
          <w:iCs w:val="false"/>
          <w:sz w:val="22"/>
          <w:szCs w:val="22"/>
          <w:lang w:val="en-US"/>
        </w:rPr>
        <w:t xml:space="preserve"> and </w:t>
      </w:r>
      <w:r>
        <w:rPr>
          <w:rFonts w:eastAsia="Arial" w:cs="Arial"/>
          <w:i/>
          <w:iCs/>
          <w:sz w:val="22"/>
          <w:szCs w:val="22"/>
          <w:lang w:val="en-US"/>
        </w:rPr>
        <w:t>Nostoc-</w:t>
      </w:r>
      <w:r>
        <w:rPr>
          <w:rFonts w:eastAsia="Arial" w:cs="Arial"/>
          <w:i w:val="false"/>
          <w:iCs w:val="false"/>
          <w:sz w:val="22"/>
          <w:szCs w:val="22"/>
          <w:lang w:val="en-US"/>
        </w:rPr>
        <w:t xml:space="preserve">like organisms with several mosses from the region of middle and upper Franconia, Germany, utilizing a microscopy-, culture-, and barcoding-based approach. Our survey therefore expands the known range of these symbioses further into southeastern Germany. We have also expanded the range of known moss hosts for </w:t>
      </w:r>
      <w:r>
        <w:rPr>
          <w:rFonts w:eastAsia="Arial" w:cs="Arial"/>
          <w:i/>
          <w:iCs/>
          <w:sz w:val="22"/>
          <w:szCs w:val="22"/>
          <w:lang w:val="en-US"/>
        </w:rPr>
        <w:t>Nostoc</w:t>
      </w:r>
      <w:r>
        <w:rPr>
          <w:rFonts w:eastAsia="Arial" w:cs="Arial"/>
          <w:i w:val="false"/>
          <w:iCs w:val="false"/>
          <w:sz w:val="22"/>
          <w:szCs w:val="22"/>
          <w:lang w:val="en-US"/>
        </w:rPr>
        <w:t xml:space="preserve"> to include two non-feather mosses, in the family Orthotricaceae (order Orthotrichales), represented here by </w:t>
      </w:r>
      <w:r>
        <w:rPr>
          <w:rFonts w:eastAsia="Arial" w:cs="Arial"/>
          <w:i/>
          <w:iCs/>
          <w:sz w:val="22"/>
          <w:szCs w:val="22"/>
          <w:lang w:val="en-US"/>
        </w:rPr>
        <w:t>Zygodon</w:t>
      </w:r>
      <w:r>
        <w:rPr>
          <w:rFonts w:eastAsia="Arial" w:cs="Arial"/>
          <w:i w:val="false"/>
          <w:iCs w:val="false"/>
          <w:sz w:val="22"/>
          <w:szCs w:val="22"/>
          <w:lang w:val="en-US"/>
        </w:rPr>
        <w:t xml:space="preserve"> and </w:t>
      </w:r>
      <w:r>
        <w:rPr>
          <w:rFonts w:eastAsia="Arial" w:cs="Arial"/>
          <w:i/>
          <w:iCs/>
          <w:sz w:val="22"/>
          <w:szCs w:val="22"/>
          <w:lang w:val="en-US"/>
        </w:rPr>
        <w:t xml:space="preserve">Orthotrichum. </w:t>
      </w:r>
      <w:r>
        <w:rPr>
          <w:rFonts w:eastAsia="Arial" w:cs="Arial"/>
          <w:i w:val="false"/>
          <w:iCs w:val="false"/>
          <w:sz w:val="22"/>
          <w:szCs w:val="22"/>
          <w:lang w:val="en-US"/>
        </w:rPr>
        <w:t xml:space="preserve">Additional new host moss families within </w:t>
      </w:r>
      <w:r>
        <w:rPr>
          <w:rFonts w:eastAsia="Arial" w:cs="Arial"/>
          <w:i/>
          <w:iCs/>
          <w:sz w:val="22"/>
          <w:szCs w:val="22"/>
          <w:lang w:val="en-US"/>
        </w:rPr>
        <w:t xml:space="preserve">Hypnales </w:t>
      </w:r>
      <w:r>
        <w:rPr>
          <w:rFonts w:eastAsia="Arial" w:cs="Arial"/>
          <w:i w:val="false"/>
          <w:iCs w:val="false"/>
          <w:sz w:val="22"/>
          <w:szCs w:val="22"/>
          <w:lang w:val="en-US"/>
        </w:rPr>
        <w:t>were also documented:</w:t>
      </w:r>
      <w:r>
        <w:rPr>
          <w:rFonts w:eastAsia="Arial" w:cs="Arial"/>
          <w:i/>
          <w:iCs/>
          <w:sz w:val="22"/>
          <w:szCs w:val="22"/>
          <w:lang w:val="en-US"/>
        </w:rPr>
        <w:t xml:space="preserve"> Pseudoa</w:t>
      </w:r>
      <w:r>
        <w:rPr>
          <w:rFonts w:eastAsia="Arial" w:cs="Arial"/>
          <w:i/>
          <w:iCs/>
          <w:color w:val="auto"/>
          <w:sz w:val="22"/>
          <w:szCs w:val="22"/>
          <w:lang w:val="en-US"/>
        </w:rPr>
        <w:t xml:space="preserve">mblystegium subtile </w:t>
      </w:r>
      <w:r>
        <w:rPr>
          <w:rFonts w:eastAsia="Arial" w:cs="Arial"/>
          <w:i w:val="false"/>
          <w:iCs w:val="false"/>
          <w:color w:val="auto"/>
          <w:sz w:val="22"/>
          <w:szCs w:val="22"/>
          <w:lang w:val="en-US"/>
        </w:rPr>
        <w:t xml:space="preserve">(Amblystegiaceae) and </w:t>
      </w:r>
      <w:r>
        <w:rPr>
          <w:rFonts w:eastAsia="Arial" w:cs="Arial"/>
          <w:i/>
          <w:iCs/>
          <w:color w:val="auto"/>
          <w:sz w:val="22"/>
          <w:szCs w:val="22"/>
          <w:lang w:val="en-US"/>
        </w:rPr>
        <w:t>Homalia trichomanes (</w:t>
      </w:r>
      <w:r>
        <w:rPr>
          <w:rFonts w:eastAsia="Arial" w:cs="Arial"/>
          <w:i w:val="false"/>
          <w:iCs w:val="false"/>
          <w:color w:val="auto"/>
          <w:sz w:val="22"/>
          <w:szCs w:val="22"/>
          <w:lang w:val="en-US"/>
        </w:rPr>
        <w:t xml:space="preserve">Neckeraceae). </w:t>
      </w:r>
    </w:p>
    <w:p>
      <w:pPr>
        <w:pStyle w:val="Normal"/>
        <w:rPr>
          <w:rFonts w:ascii="Arial" w:hAnsi="Arial" w:eastAsia="Arial" w:cs="Arial"/>
          <w:i w:val="false"/>
          <w:i w:val="false"/>
          <w:iCs w:val="false"/>
          <w:color w:val="auto"/>
          <w:sz w:val="22"/>
          <w:szCs w:val="22"/>
          <w:lang w:val="en-US"/>
        </w:rPr>
      </w:pPr>
      <w:r>
        <w:rPr>
          <w:rFonts w:eastAsia="Arial" w:cs="Arial"/>
          <w:i w:val="false"/>
          <w:iCs w:val="false"/>
          <w:color w:val="auto"/>
          <w:sz w:val="22"/>
          <w:szCs w:val="22"/>
          <w:lang w:val="en-US"/>
        </w:rPr>
      </w:r>
    </w:p>
    <w:p>
      <w:pPr>
        <w:pStyle w:val="Normal"/>
        <w:rPr/>
      </w:pPr>
      <w:r>
        <w:rPr>
          <w:rFonts w:eastAsia="Arial" w:cs="Arial"/>
          <w:i w:val="false"/>
          <w:iCs w:val="false"/>
          <w:color w:val="auto"/>
          <w:sz w:val="22"/>
          <w:szCs w:val="22"/>
          <w:lang w:val="en-US"/>
        </w:rPr>
        <w:t xml:space="preserve">The finding of </w:t>
      </w:r>
      <w:r>
        <w:rPr>
          <w:rFonts w:eastAsia="Arial" w:cs="Arial"/>
          <w:i/>
          <w:iCs w:val="false"/>
          <w:color w:val="auto"/>
          <w:sz w:val="22"/>
          <w:szCs w:val="22"/>
          <w:lang w:val="en-US"/>
        </w:rPr>
        <w:t>Nostoc</w:t>
      </w:r>
      <w:r>
        <w:rPr>
          <w:rFonts w:eastAsia="Arial" w:cs="Arial"/>
          <w:i w:val="false"/>
          <w:iCs w:val="false"/>
          <w:color w:val="auto"/>
          <w:sz w:val="22"/>
          <w:szCs w:val="22"/>
          <w:lang w:val="en-US"/>
        </w:rPr>
        <w:t xml:space="preserve"> symbiosis in forest-floor </w:t>
      </w:r>
      <w:r>
        <w:rPr>
          <w:rFonts w:eastAsia="Arial" w:cs="Arial"/>
          <w:i/>
          <w:iCs/>
          <w:color w:val="auto"/>
          <w:sz w:val="22"/>
          <w:szCs w:val="22"/>
          <w:lang w:val="en-US"/>
        </w:rPr>
        <w:t xml:space="preserve">Hylocomium splendens </w:t>
      </w:r>
      <w:r>
        <w:rPr>
          <w:rFonts w:eastAsia="Arial" w:cs="Arial"/>
          <w:i w:val="false"/>
          <w:iCs w:val="false"/>
          <w:color w:val="auto"/>
          <w:sz w:val="22"/>
          <w:szCs w:val="22"/>
          <w:lang w:val="en-US"/>
        </w:rPr>
        <w:t xml:space="preserve">deeper into central Europe was predicted, since the well-known host moss species </w:t>
      </w:r>
      <w:r>
        <w:rPr>
          <w:rFonts w:eastAsia="Arial" w:cs="Arial"/>
          <w:i/>
          <w:iCs/>
          <w:color w:val="auto"/>
          <w:sz w:val="22"/>
          <w:szCs w:val="22"/>
          <w:lang w:val="en-US"/>
        </w:rPr>
        <w:t xml:space="preserve">H. splendens </w:t>
      </w:r>
      <w:r>
        <w:rPr>
          <w:rFonts w:eastAsia="Arial" w:cs="Arial"/>
          <w:i w:val="false"/>
          <w:iCs w:val="false"/>
          <w:color w:val="auto"/>
          <w:sz w:val="22"/>
          <w:szCs w:val="22"/>
          <w:lang w:val="en-US"/>
        </w:rPr>
        <w:t xml:space="preserve">and </w:t>
      </w:r>
      <w:r>
        <w:rPr>
          <w:rFonts w:eastAsia="Arial" w:cs="Arial"/>
          <w:i/>
          <w:iCs/>
          <w:color w:val="auto"/>
          <w:sz w:val="22"/>
          <w:szCs w:val="22"/>
          <w:lang w:val="en-US"/>
        </w:rPr>
        <w:t xml:space="preserve">Pleurozium schreberi </w:t>
      </w:r>
      <w:r>
        <w:rPr>
          <w:rFonts w:eastAsia="Arial" w:cs="Arial"/>
          <w:i w:val="false"/>
          <w:iCs w:val="false"/>
          <w:color w:val="auto"/>
          <w:sz w:val="22"/>
          <w:szCs w:val="22"/>
          <w:lang w:val="en-US"/>
        </w:rPr>
        <w:t xml:space="preserve">are very common in the region. Nevertheless, the extension of the geographical range of this well-known symbiosis further emphasizes their likely importance to montane forest ecosystems. Given the documented importance of moss-hosted cyanobacterial nitrogen in other systems (discussed above), </w:t>
      </w:r>
      <w:r>
        <w:rPr>
          <w:rFonts w:eastAsia="Arial" w:cs="Arial"/>
          <w:i w:val="false"/>
          <w:iCs w:val="false"/>
          <w:color w:val="auto"/>
          <w:sz w:val="22"/>
          <w:szCs w:val="22"/>
          <w:lang w:val="en-US"/>
        </w:rPr>
        <w:t xml:space="preserve">and the abundance of these mosses in our region (___supp. fig. ___), </w:t>
      </w:r>
      <w:r>
        <w:rPr>
          <w:rFonts w:eastAsia="Arial" w:cs="Arial"/>
          <w:i w:val="false"/>
          <w:iCs w:val="false"/>
          <w:color w:val="auto"/>
          <w:sz w:val="22"/>
          <w:szCs w:val="22"/>
          <w:lang w:val="en-US"/>
        </w:rPr>
        <w:t xml:space="preserve">the contribution of these symbioses to the primary productivity of montane forest ecosystems of our region of Central Europe is also likely to be significant. This argues for the protection of forest-floor moss layers and canopy mosses in the montane forests of the region as part of maintenance of these forest stands. </w:t>
      </w:r>
    </w:p>
    <w:p>
      <w:pPr>
        <w:pStyle w:val="Normal"/>
        <w:rPr>
          <w:lang w:val="en-US"/>
        </w:rPr>
      </w:pPr>
      <w:r>
        <w:rPr>
          <w:lang w:val="en-US"/>
        </w:rPr>
      </w:r>
    </w:p>
    <w:p>
      <w:pPr>
        <w:pStyle w:val="Normal"/>
        <w:rPr>
          <w:lang w:val="en-US"/>
        </w:rPr>
      </w:pPr>
      <w:r>
        <w:rPr>
          <w:lang w:val="en-US"/>
        </w:rPr>
        <w:t xml:space="preserve">There are obvious disadvantages to a culture-based approach, primarily that presumably many </w:t>
      </w:r>
      <w:r>
        <w:rPr>
          <w:i/>
          <w:lang w:val="en-US"/>
        </w:rPr>
        <w:t>Nostoc</w:t>
      </w:r>
      <w:r>
        <w:rPr>
          <w:lang w:val="en-US"/>
        </w:rPr>
        <w:t>-like organisms were not successfully cultured. Cultures that were successful were extremely slow-growing, and were in one case not mono-</w:t>
      </w:r>
      <w:r>
        <w:rPr>
          <w:lang w:val="en-US"/>
        </w:rPr>
        <w:t>cyanobacterial</w:t>
      </w:r>
      <w:r>
        <w:rPr>
          <w:lang w:val="en-US"/>
        </w:rPr>
        <w:t xml:space="preserve">. Generally, target </w:t>
      </w:r>
      <w:r>
        <w:rPr>
          <w:i/>
          <w:lang w:val="en-US"/>
        </w:rPr>
        <w:t>Nostoc</w:t>
      </w:r>
      <w:r>
        <w:rPr>
          <w:lang w:val="en-US"/>
        </w:rPr>
        <w:t xml:space="preserve">-like organisms were often outcompeted in culture by other photoautotrophs. </w:t>
      </w:r>
      <w:r>
        <w:rPr>
          <w:i/>
          <w:iCs/>
          <w:lang w:val="en-US"/>
        </w:rPr>
        <w:t>Nostoc</w:t>
      </w:r>
      <w:r>
        <w:rPr>
          <w:lang w:val="en-US"/>
        </w:rPr>
        <w:t xml:space="preserve">-like organisms exist in many other life stages besides multicellular colony stages, including single-cell and single-trichome life stages (Mollenhauer, 1986). </w:t>
      </w:r>
      <w:r>
        <w:rPr>
          <w:i/>
          <w:lang w:val="en-US"/>
        </w:rPr>
        <w:t>Nostoc</w:t>
      </w:r>
      <w:r>
        <w:rPr>
          <w:lang w:val="en-US"/>
        </w:rPr>
        <w:t xml:space="preserve"> present on mosses in these life stages probably often escape detection by standard light microscopy. Our PCR-tests of moss tissue with cyanobacterial </w:t>
      </w:r>
      <w:r>
        <w:rPr>
          <w:i/>
          <w:lang w:val="en-US"/>
        </w:rPr>
        <w:t>nifH</w:t>
      </w:r>
      <w:r>
        <w:rPr>
          <w:lang w:val="en-US"/>
        </w:rPr>
        <w:t xml:space="preserve"> genes (Fig. 8) support this, indicating that cyanobacteria are likely present in most aerial tissues of </w:t>
      </w:r>
      <w:r>
        <w:rPr>
          <w:i/>
          <w:lang w:val="en-US"/>
        </w:rPr>
        <w:t>Hylocomium</w:t>
      </w:r>
      <w:r>
        <w:rPr>
          <w:lang w:val="en-US"/>
        </w:rPr>
        <w:t xml:space="preserve"> even when not detectable with microscopy. As such, the organisms cultured here likely greatly under-represents the diversity of </w:t>
      </w:r>
      <w:r>
        <w:rPr>
          <w:i/>
          <w:lang w:val="en-US"/>
        </w:rPr>
        <w:t>Nostoc</w:t>
      </w:r>
      <w:r>
        <w:rPr>
          <w:lang w:val="en-US"/>
        </w:rPr>
        <w:t xml:space="preserve">-like organisms in mosses in our region. </w:t>
      </w:r>
    </w:p>
    <w:p>
      <w:pPr>
        <w:pStyle w:val="Normal"/>
        <w:rPr>
          <w:lang w:val="en-US"/>
        </w:rPr>
      </w:pPr>
      <w:r>
        <w:rPr>
          <w:lang w:val="en-US"/>
        </w:rPr>
      </w:r>
    </w:p>
    <w:p>
      <w:pPr>
        <w:pStyle w:val="Normal"/>
        <w:rPr/>
      </w:pPr>
      <w:r>
        <w:rPr>
          <w:lang w:val="en-US"/>
        </w:rPr>
        <w:t>Despite the limitations of our culture- and microscop</w:t>
      </w:r>
      <w:r>
        <w:rPr/>
        <w:t xml:space="preserve">y-based approach, we documented new moss hosts for </w:t>
      </w:r>
      <w:r>
        <w:rPr>
          <w:i/>
        </w:rPr>
        <w:t>Nostoc</w:t>
      </w:r>
      <w:r>
        <w:rPr/>
        <w:t xml:space="preserve">-like organisms. Particularly of interest are host species </w:t>
      </w:r>
      <w:r>
        <w:rPr>
          <w:i/>
        </w:rPr>
        <w:t>Zygodon dentatus</w:t>
      </w:r>
      <w:r>
        <w:rPr/>
        <w:t xml:space="preserve"> and </w:t>
      </w:r>
      <w:r>
        <w:rPr>
          <w:i/>
        </w:rPr>
        <w:t>Orthotrichum lyellii</w:t>
      </w:r>
      <w:r>
        <w:rPr/>
        <w:t xml:space="preserve">, both of Orthotricaceae and both of which fall outside of the category of feather mosses (order Hypnales). Feather mosses and </w:t>
      </w:r>
      <w:r>
        <w:rPr>
          <w:i/>
        </w:rPr>
        <w:t>Sphagnum</w:t>
      </w:r>
      <w:r>
        <w:rPr/>
        <w:t xml:space="preserve"> are traditionally understood to be the hosts for moss-</w:t>
      </w:r>
      <w:r>
        <w:rPr>
          <w:i/>
        </w:rPr>
        <w:t>Nostoc</w:t>
      </w:r>
      <w:r>
        <w:rPr/>
        <w:t xml:space="preserve"> symbioses, but we show here that such symbioses may be occurring in other distantly-related moss groups.  </w:t>
      </w:r>
    </w:p>
    <w:p>
      <w:pPr>
        <w:pStyle w:val="Normal"/>
        <w:rPr/>
      </w:pPr>
      <w:r>
        <w:rPr/>
      </w:r>
    </w:p>
    <w:p>
      <w:pPr>
        <w:pStyle w:val="Normal"/>
        <w:rPr/>
      </w:pPr>
      <w:r>
        <w:rPr/>
        <w:t>Importantly, these two new host mosses (</w:t>
      </w:r>
      <w:r>
        <w:rPr>
          <w:i/>
        </w:rPr>
        <w:t>Zygodon dentatus</w:t>
      </w:r>
      <w:r>
        <w:rPr/>
        <w:t xml:space="preserve"> and </w:t>
      </w:r>
      <w:r>
        <w:rPr>
          <w:i/>
        </w:rPr>
        <w:t>Orthotrichum lyellii</w:t>
      </w:r>
      <w:r>
        <w:rPr/>
        <w:t>) were arboreal mosses. Four out</w:t>
      </w:r>
      <w:r>
        <w:rPr>
          <w:lang w:val="en-US"/>
        </w:rPr>
        <w:t xml:space="preserve"> of five moss hosts in which we observed to host </w:t>
      </w:r>
      <w:r>
        <w:rPr>
          <w:i/>
          <w:lang w:val="en-US"/>
        </w:rPr>
        <w:t>Nostoc</w:t>
      </w:r>
      <w:r>
        <w:rPr>
          <w:lang w:val="en-US"/>
        </w:rPr>
        <w:t xml:space="preserve">-like organisms were epiphytic on tree bark (Table 2). We did not conduct systematic sampling for </w:t>
      </w:r>
      <w:r>
        <w:rPr>
          <w:i/>
          <w:lang w:val="en-US"/>
        </w:rPr>
        <w:t>Nostoc</w:t>
      </w:r>
      <w:r>
        <w:rPr>
          <w:lang w:val="en-US"/>
        </w:rPr>
        <w:t>-like organisms, so we cannot quantify the relative abundance of the symbiosis in canopy-dwelling mosses in our region vs. forest floor mosses. However, this is supportive of the hypothesized importance of this symbiosis in forest canopies (Lindo &amp; Whiteley, 2011)</w:t>
      </w:r>
      <w:r>
        <w:rPr/>
        <w:t xml:space="preserve">, and we hypothesize that N-fixing cyanobacterial symbionts may provide an important mechanism for allowing moss communities to thrive and compete in the </w:t>
      </w:r>
      <w:r>
        <w:rPr>
          <w:lang w:val="en-US"/>
        </w:rPr>
        <w:t xml:space="preserve">very challenging microclimate of bark. Cyanobacteria in arboreal mosses have been observed previously, i.e. in the coastal temperate rain forest of North America by Lindo and Whiteley (2011) and in a subtropical montane cloud forest in southwestern China for the species </w:t>
      </w:r>
      <w:r>
        <w:rPr>
          <w:i/>
          <w:lang w:val="en-US"/>
        </w:rPr>
        <w:t>Homaliodendron montagneanum</w:t>
      </w:r>
      <w:r>
        <w:rPr>
          <w:lang w:val="en-US"/>
        </w:rPr>
        <w:t xml:space="preserve">, </w:t>
      </w:r>
      <w:r>
        <w:rPr>
          <w:i/>
          <w:lang w:val="en-US"/>
        </w:rPr>
        <w:t>H. scalpellifolium</w:t>
      </w:r>
      <w:r>
        <w:rPr>
          <w:lang w:val="en-US"/>
        </w:rPr>
        <w:t xml:space="preserve"> and </w:t>
      </w:r>
      <w:r>
        <w:rPr>
          <w:i/>
          <w:lang w:val="en-US"/>
        </w:rPr>
        <w:t>Thuidium cymbifolium</w:t>
      </w:r>
      <w:r>
        <w:rPr>
          <w:lang w:val="en-US"/>
        </w:rPr>
        <w:t xml:space="preserve"> (Fan et al., 2022).  Physically smaller and more ephemeral mosses such as Zygodon spp. or </w:t>
      </w:r>
      <w:r>
        <w:rPr>
          <w:i/>
          <w:lang w:val="en-US"/>
        </w:rPr>
        <w:t>Pseudoamblystegium</w:t>
      </w:r>
      <w:r>
        <w:rPr>
          <w:lang w:val="en-US"/>
        </w:rPr>
        <w:t xml:space="preserve"> spp., as well as initial or young stages of larger mosses like </w:t>
      </w:r>
      <w:r>
        <w:rPr>
          <w:i/>
          <w:lang w:val="en-US"/>
        </w:rPr>
        <w:t>Orthotrichum</w:t>
      </w:r>
      <w:r>
        <w:rPr>
          <w:lang w:val="en-US"/>
        </w:rPr>
        <w:t xml:space="preserve">, may especially benefit from this symbiosis, as smaller mosses may not be able to access biologically available nitrogen from atmospheric deposition or stemflow as well as larger mat-forming mosses. If this is true, we would predict symbiosis with cyanobacteria to be especially prevalent on the smaller species as hosts, as we observed for </w:t>
      </w:r>
      <w:r>
        <w:rPr>
          <w:i/>
          <w:lang w:val="en-US"/>
        </w:rPr>
        <w:t>Zygodon</w:t>
      </w:r>
      <w:r>
        <w:rPr>
          <w:lang w:val="en-US"/>
        </w:rPr>
        <w:t xml:space="preserve">, </w:t>
      </w:r>
      <w:r>
        <w:rPr>
          <w:i/>
          <w:lang w:val="en-US"/>
        </w:rPr>
        <w:t>Pseudoamblystegium subtile</w:t>
      </w:r>
      <w:r>
        <w:rPr>
          <w:lang w:val="en-US"/>
        </w:rPr>
        <w:t xml:space="preserve"> and </w:t>
      </w:r>
      <w:r>
        <w:rPr>
          <w:i/>
          <w:lang w:val="en-US"/>
        </w:rPr>
        <w:t>Homalia</w:t>
      </w:r>
      <w:r>
        <w:rPr>
          <w:lang w:val="en-US"/>
        </w:rPr>
        <w:t xml:space="preserve">, all of which are comparatively physically small mosses of their families </w:t>
      </w:r>
      <w:r>
        <w:rPr>
          <w:lang w:val="en-US"/>
        </w:rPr>
        <w:t xml:space="preserve">(Frahm </w:t>
      </w:r>
      <w:r>
        <w:rPr>
          <w:lang w:val="en-US"/>
        </w:rPr>
        <w:t xml:space="preserve">&amp; Frey, </w:t>
      </w:r>
      <w:r>
        <w:rPr>
          <w:lang w:val="en-US"/>
        </w:rPr>
        <w:t>200</w:t>
      </w:r>
      <w:r>
        <w:rPr>
          <w:lang w:val="en-US"/>
        </w:rPr>
        <w:t>4</w:t>
      </w:r>
      <w:r>
        <w:rPr>
          <w:lang w:val="en-US"/>
        </w:rPr>
        <w:t>)</w:t>
      </w:r>
      <w:r>
        <w:rPr>
          <w:lang w:val="en-US"/>
        </w:rPr>
        <w:t xml:space="preserve">. Whereas the genus </w:t>
      </w:r>
      <w:r>
        <w:rPr>
          <w:i/>
          <w:lang w:val="en-US"/>
        </w:rPr>
        <w:t>Orthotrichum</w:t>
      </w:r>
      <w:r>
        <w:rPr>
          <w:lang w:val="en-US"/>
        </w:rPr>
        <w:t xml:space="preserve"> is widespread and common in our region, the genus </w:t>
      </w:r>
      <w:r>
        <w:rPr>
          <w:i/>
          <w:lang w:val="en-US"/>
        </w:rPr>
        <w:t>Zygodon</w:t>
      </w:r>
      <w:r>
        <w:rPr>
          <w:lang w:val="en-US"/>
        </w:rPr>
        <w:t xml:space="preserve"> is rare in central Europe </w:t>
      </w:r>
      <w:r>
        <w:rPr>
          <w:lang w:val="en-US"/>
        </w:rPr>
        <w:t xml:space="preserve">(Meinunger et al., 2007, </w:t>
      </w:r>
      <w:r>
        <w:rPr>
          <w:lang w:val="en-US"/>
        </w:rPr>
        <w:t xml:space="preserve">see also </w:t>
      </w:r>
      <w:hyperlink r:id="rId21">
        <w:r>
          <w:rPr>
            <w:rStyle w:val="Hyperlink"/>
            <w:lang w:val="en-US"/>
          </w:rPr>
          <w:t>bayern.moose-deutschland.de</w:t>
        </w:r>
      </w:hyperlink>
      <w:r>
        <w:rPr>
          <w:lang w:val="en-US"/>
        </w:rPr>
        <w:t xml:space="preserve">) </w:t>
      </w:r>
      <w:r>
        <w:rPr>
          <w:lang w:val="en-US"/>
        </w:rPr>
        <w:t xml:space="preserve">and occurs ephemerally in very scattered mats at sites with a high humidity. </w:t>
      </w:r>
      <w:r>
        <w:rPr>
          <w:i/>
          <w:lang w:val="en-US"/>
        </w:rPr>
        <w:t>Zygodon</w:t>
      </w:r>
      <w:r>
        <w:rPr>
          <w:lang w:val="en-US"/>
        </w:rPr>
        <w:t xml:space="preserve"> has comparatively small gametophytes </w:t>
      </w:r>
      <w:r>
        <w:rPr>
          <w:lang w:val="en-US"/>
        </w:rPr>
        <w:t xml:space="preserve">(Frahm </w:t>
      </w:r>
      <w:r>
        <w:rPr>
          <w:lang w:val="en-US"/>
        </w:rPr>
        <w:t xml:space="preserve">&amp; Frey, </w:t>
      </w:r>
      <w:r>
        <w:rPr>
          <w:lang w:val="en-US"/>
        </w:rPr>
        <w:t>200</w:t>
      </w:r>
      <w:r>
        <w:rPr>
          <w:lang w:val="en-US"/>
        </w:rPr>
        <w:t>4</w:t>
      </w:r>
      <w:r>
        <w:rPr>
          <w:lang w:val="en-US"/>
        </w:rPr>
        <w:t>)</w:t>
      </w:r>
      <w:r>
        <w:rPr>
          <w:i w:val="false"/>
          <w:iCs w:val="false"/>
          <w:lang w:val="en-US"/>
        </w:rPr>
        <w:t xml:space="preserve"> </w:t>
      </w:r>
      <w:r>
        <w:rPr>
          <w:lang w:val="en-US"/>
        </w:rPr>
        <w:t xml:space="preserve">and may be at a competitive disadvantage compared to larger, co-occuring species of </w:t>
      </w:r>
      <w:r>
        <w:rPr>
          <w:i/>
          <w:lang w:val="en-US"/>
        </w:rPr>
        <w:t>Orthotrichum</w:t>
      </w:r>
      <w:r>
        <w:rPr>
          <w:lang w:val="en-US"/>
        </w:rPr>
        <w:t>, and the moss-</w:t>
      </w:r>
      <w:r>
        <w:rPr>
          <w:i/>
          <w:lang w:val="en-US"/>
        </w:rPr>
        <w:t>Nostoc</w:t>
      </w:r>
      <w:r>
        <w:rPr>
          <w:lang w:val="en-US"/>
        </w:rPr>
        <w:t xml:space="preserve"> symbioses may be especially important for these mosses for continued survival. Additionally, </w:t>
      </w:r>
      <w:r>
        <w:rPr>
          <w:i/>
          <w:lang w:val="en-US"/>
        </w:rPr>
        <w:t>Zygodon</w:t>
      </w:r>
      <w:r>
        <w:rPr>
          <w:lang w:val="en-US"/>
        </w:rPr>
        <w:t xml:space="preserve"> spp. and </w:t>
      </w:r>
      <w:r>
        <w:rPr>
          <w:i/>
          <w:lang w:val="en-US"/>
        </w:rPr>
        <w:t>Orthotrichum lyellii</w:t>
      </w:r>
      <w:r>
        <w:rPr>
          <w:lang w:val="en-US"/>
        </w:rPr>
        <w:t xml:space="preserve"> produce large amounts of multicellular gemmae for dispersal . This continual production of gemmae may create additional demand on these mosses for organic nitrogen, and therefore symbioses as we observe here.</w:t>
      </w:r>
    </w:p>
    <w:p>
      <w:pPr>
        <w:pStyle w:val="Normal"/>
        <w:rPr>
          <w:lang w:val="en-US"/>
        </w:rPr>
      </w:pPr>
      <w:r>
        <w:rPr>
          <w:lang w:val="en-US"/>
        </w:rPr>
      </w:r>
    </w:p>
    <w:p>
      <w:pPr>
        <w:pStyle w:val="Normal"/>
        <w:rPr/>
      </w:pPr>
      <w:r>
        <w:rPr>
          <w:lang w:val="en-US"/>
        </w:rPr>
        <w:t xml:space="preserve">We found no clear phylogenetic signal among the symbiotic </w:t>
      </w:r>
      <w:r>
        <w:rPr>
          <w:i/>
          <w:lang w:val="en-US"/>
        </w:rPr>
        <w:t>Nostoc</w:t>
      </w:r>
      <w:r>
        <w:rPr>
          <w:lang w:val="en-US"/>
        </w:rPr>
        <w:t xml:space="preserve">-organisms for which the 16S rRNA gene were successfully sequenced - symbionts were placed throughout the </w:t>
      </w:r>
      <w:r>
        <w:rPr>
          <w:i w:val="false"/>
          <w:iCs w:val="false"/>
          <w:lang w:val="en-US"/>
        </w:rPr>
        <w:t>Nostocaceae</w:t>
      </w:r>
      <w:r>
        <w:rPr>
          <w:lang w:val="en-US"/>
        </w:rPr>
        <w:t xml:space="preserve"> family (Fig. 10, Table 2). Nearest matches to other </w:t>
      </w:r>
      <w:r>
        <w:rPr>
          <w:i/>
          <w:lang w:val="en-US"/>
        </w:rPr>
        <w:t>Nostoc</w:t>
      </w:r>
      <w:r>
        <w:rPr>
          <w:lang w:val="en-US"/>
        </w:rPr>
        <w:t xml:space="preserve"> full length 16S sequences were from various ecological niches, both symbiotic and free-living. Additionally, according to 16S sequence data, our </w:t>
      </w:r>
      <w:r>
        <w:rPr>
          <w:i/>
          <w:lang w:val="en-US"/>
        </w:rPr>
        <w:t>Nostoc</w:t>
      </w:r>
      <w:r>
        <w:rPr>
          <w:lang w:val="en-US"/>
        </w:rPr>
        <w:t xml:space="preserve">-like organism isolated from </w:t>
      </w:r>
      <w:r>
        <w:rPr>
          <w:i/>
          <w:lang w:val="en-US"/>
        </w:rPr>
        <w:t>Zygodon</w:t>
      </w:r>
      <w:r>
        <w:rPr>
          <w:lang w:val="en-US"/>
        </w:rPr>
        <w:t xml:space="preserve"> is most closely related to the recently-described genus </w:t>
      </w:r>
      <w:r>
        <w:rPr>
          <w:i/>
          <w:lang w:val="en-US"/>
        </w:rPr>
        <w:t>Compacto</w:t>
      </w:r>
      <w:r>
        <w:rPr>
          <w:i/>
          <w:lang w:val="en-US"/>
        </w:rPr>
        <w:t>n</w:t>
      </w:r>
      <w:r>
        <w:rPr>
          <w:i/>
          <w:lang w:val="en-US"/>
        </w:rPr>
        <w:t>ostoc</w:t>
      </w:r>
      <w:r>
        <w:rPr>
          <w:lang w:val="en-US"/>
        </w:rPr>
        <w:t xml:space="preserve"> (Cai et al., 2019). This genus of </w:t>
      </w:r>
      <w:r>
        <w:rPr>
          <w:i/>
          <w:lang w:val="en-US"/>
        </w:rPr>
        <w:t>Nostoc</w:t>
      </w:r>
      <w:r>
        <w:rPr>
          <w:lang w:val="en-US"/>
        </w:rPr>
        <w:t xml:space="preserve">-like organisms has to-date been observed from freshwater free-living states (Cai et al., 2019; Caro-Borrero et al., 2024), but our observation implies that members of </w:t>
      </w:r>
      <w:r>
        <w:rPr>
          <w:i/>
          <w:lang w:val="en-US"/>
        </w:rPr>
        <w:t>Compacto</w:t>
      </w:r>
      <w:r>
        <w:rPr>
          <w:i/>
          <w:lang w:val="en-US"/>
        </w:rPr>
        <w:t>n</w:t>
      </w:r>
      <w:r>
        <w:rPr>
          <w:i/>
          <w:lang w:val="en-US"/>
        </w:rPr>
        <w:t>ostoc</w:t>
      </w:r>
      <w:r>
        <w:rPr>
          <w:lang w:val="en-US"/>
        </w:rPr>
        <w:t xml:space="preserve"> may be capable of plant-symbiosis. </w:t>
      </w:r>
    </w:p>
    <w:p>
      <w:pPr>
        <w:pStyle w:val="Normal"/>
        <w:rPr>
          <w:lang w:val="en-US"/>
        </w:rPr>
      </w:pPr>
      <w:r>
        <w:rPr/>
      </w:r>
    </w:p>
    <w:p>
      <w:pPr>
        <w:pStyle w:val="Normal"/>
        <w:rPr/>
      </w:pPr>
      <w:r>
        <w:rPr>
          <w:lang w:val="en-US"/>
        </w:rPr>
        <w:t>Another benefit of our culture-based approach is that we are able to link taxonomic identity (full-length 16S sequences) to a functional gene (</w:t>
      </w:r>
      <w:r>
        <w:rPr>
          <w:i/>
          <w:lang w:val="en-US"/>
        </w:rPr>
        <w:t>nifH</w:t>
      </w:r>
      <w:r>
        <w:rPr>
          <w:lang w:val="en-US"/>
        </w:rPr>
        <w:t xml:space="preserve">) within single organisms. This has enabled the observation of possible alternate nitrogenases (3 distinct </w:t>
      </w:r>
      <w:r>
        <w:rPr>
          <w:i/>
          <w:lang w:val="en-US"/>
        </w:rPr>
        <w:t>nifH</w:t>
      </w:r>
      <w:r>
        <w:rPr>
          <w:lang w:val="en-US"/>
        </w:rPr>
        <w:t xml:space="preserve"> copies) in the genomes of 2 of our moss-associated </w:t>
      </w:r>
      <w:r>
        <w:rPr>
          <w:i/>
          <w:lang w:val="en-US"/>
        </w:rPr>
        <w:t>Nostoc</w:t>
      </w:r>
      <w:r>
        <w:rPr>
          <w:lang w:val="en-US"/>
        </w:rPr>
        <w:t xml:space="preserve">-like organisms. Alternative nitrogenases have been previously observed from members of </w:t>
      </w:r>
      <w:r>
        <w:rPr>
          <w:i w:val="false"/>
          <w:iCs w:val="false"/>
          <w:lang w:val="en-US"/>
        </w:rPr>
        <w:t>Nostocaceae</w:t>
      </w:r>
      <w:r>
        <w:rPr>
          <w:lang w:val="en-US"/>
        </w:rPr>
        <w:t xml:space="preserve"> (Thiel, 1993; Thiel et al., 1995), and are thought to perform supplementary or complementary roles, allowing diazotrophy in different oxygen levels, or the use of alternative metal co-factors (vanadium or iron-only) in place of molybdenum (Zehr et al., 2003). It is worth noting that our only terrestrial moss (</w:t>
      </w:r>
      <w:r>
        <w:rPr>
          <w:i/>
          <w:lang w:val="en-US"/>
        </w:rPr>
        <w:t>Hylocomium splendens</w:t>
      </w:r>
      <w:r>
        <w:rPr>
          <w:lang w:val="en-US"/>
        </w:rPr>
        <w:t xml:space="preserve">) did not appear to host </w:t>
      </w:r>
      <w:r>
        <w:rPr>
          <w:i/>
          <w:lang w:val="en-US"/>
        </w:rPr>
        <w:t>Nostoc</w:t>
      </w:r>
      <w:r>
        <w:rPr>
          <w:lang w:val="en-US"/>
        </w:rPr>
        <w:t xml:space="preserve"> with alternate nitrogenases, only our arboreal </w:t>
      </w:r>
      <w:r>
        <w:rPr>
          <w:i/>
          <w:lang w:val="en-US"/>
        </w:rPr>
        <w:t>Nostoc</w:t>
      </w:r>
      <w:r>
        <w:rPr>
          <w:lang w:val="en-US"/>
        </w:rPr>
        <w:t xml:space="preserve"> were observed to have alternate </w:t>
      </w:r>
      <w:r>
        <w:rPr>
          <w:i/>
          <w:lang w:val="en-US"/>
        </w:rPr>
        <w:t>nifH</w:t>
      </w:r>
      <w:r>
        <w:rPr>
          <w:lang w:val="en-US"/>
        </w:rPr>
        <w:t xml:space="preserve"> versions. We speculate that in the forest canopy environment, the availability of molybdenum may be limiting, requiring alternate nitrogenases with other co-factors. Alternatively, the dynamic microclimate of the forest canopy may select for homologs of nitrogenase genes with different environmental optima. Either possibility would enable diazotrophic cyanobacteria to fix nitrogen and continue growth under a wider range of conditions. </w:t>
      </w:r>
    </w:p>
    <w:p>
      <w:pPr>
        <w:pStyle w:val="Normal"/>
        <w:rPr>
          <w:lang w:val="en-US"/>
        </w:rPr>
      </w:pPr>
      <w:r>
        <w:rPr>
          <w:lang w:val="en-US"/>
        </w:rPr>
      </w:r>
    </w:p>
    <w:p>
      <w:pPr>
        <w:pStyle w:val="Normal"/>
        <w:rPr/>
      </w:pPr>
      <w:r>
        <w:rPr>
          <w:lang w:val="en-US"/>
        </w:rPr>
        <w:t xml:space="preserve">The possibility that moss-associated cyanobacteria host multiple nitrogenases has implications for the study of moss-associated </w:t>
      </w:r>
      <w:r>
        <w:rPr>
          <w:i/>
          <w:lang w:val="en-US"/>
        </w:rPr>
        <w:t>Nostoc</w:t>
      </w:r>
      <w:r>
        <w:rPr>
          <w:lang w:val="en-US"/>
        </w:rPr>
        <w:t xml:space="preserve"> and their ecological services. For example, Warshan et al. (2016) and Arróniz-Crespo (2022) attribute relative importance in terms of biological nitrogen fixation to different cyanobacterial groups in boreal forests, based on differential abundances of sequences falling into </w:t>
      </w:r>
      <w:r>
        <w:rPr>
          <w:i/>
          <w:lang w:val="en-US"/>
        </w:rPr>
        <w:t>nifH</w:t>
      </w:r>
      <w:r>
        <w:rPr>
          <w:lang w:val="en-US"/>
        </w:rPr>
        <w:t xml:space="preserve"> clades defined by Ininbergs et al. (2011). However, we show here that great care should be taken when assigning taxonomy using these </w:t>
      </w:r>
      <w:r>
        <w:rPr>
          <w:i/>
          <w:lang w:val="en-US"/>
        </w:rPr>
        <w:t>nifH</w:t>
      </w:r>
      <w:r>
        <w:rPr>
          <w:lang w:val="en-US"/>
        </w:rPr>
        <w:t xml:space="preserve"> clusters. Warshan et al. (2016) and Arróniz-Crespo (2022) suggest </w:t>
      </w:r>
      <w:r>
        <w:rPr>
          <w:i/>
          <w:lang w:val="en-US"/>
        </w:rPr>
        <w:t>Stigonema</w:t>
      </w:r>
      <w:r>
        <w:rPr>
          <w:lang w:val="en-US"/>
        </w:rPr>
        <w:t xml:space="preserve"> as the most important group contributing to fixation of nitrogen in boreal forest systems based on high relative abundance or high levels of expression of </w:t>
      </w:r>
      <w:r>
        <w:rPr>
          <w:i/>
          <w:lang w:val="en-US"/>
        </w:rPr>
        <w:t>nifH</w:t>
      </w:r>
      <w:r>
        <w:rPr>
          <w:lang w:val="en-US"/>
        </w:rPr>
        <w:t xml:space="preserve"> genes aligned to the “</w:t>
      </w:r>
      <w:r>
        <w:rPr>
          <w:i/>
          <w:lang w:val="en-US"/>
        </w:rPr>
        <w:t>Stigonema</w:t>
      </w:r>
      <w:r>
        <w:rPr>
          <w:lang w:val="en-US"/>
        </w:rPr>
        <w:t xml:space="preserve"> cluster” of </w:t>
      </w:r>
      <w:r>
        <w:rPr>
          <w:i/>
          <w:lang w:val="en-US"/>
        </w:rPr>
        <w:t>nifH</w:t>
      </w:r>
      <w:r>
        <w:rPr>
          <w:lang w:val="en-US"/>
        </w:rPr>
        <w:t xml:space="preserve">, sensu Ininbergs et al. (2011). Our results indicate that the </w:t>
      </w:r>
      <w:r>
        <w:rPr>
          <w:i/>
          <w:lang w:val="en-US"/>
        </w:rPr>
        <w:t>Nostoc</w:t>
      </w:r>
      <w:r>
        <w:rPr>
          <w:lang w:val="en-US"/>
        </w:rPr>
        <w:t xml:space="preserve"> strain cultured from </w:t>
      </w:r>
      <w:r>
        <w:rPr>
          <w:i/>
          <w:lang w:val="en-US"/>
        </w:rPr>
        <w:t>Homalia</w:t>
      </w:r>
      <w:r>
        <w:rPr>
          <w:lang w:val="en-US"/>
        </w:rPr>
        <w:t xml:space="preserve"> trichomanoides, closely related to </w:t>
      </w:r>
      <w:r>
        <w:rPr>
          <w:i/>
          <w:lang w:val="en-US"/>
        </w:rPr>
        <w:t>Nostoc</w:t>
      </w:r>
      <w:r>
        <w:rPr>
          <w:lang w:val="en-US"/>
        </w:rPr>
        <w:t xml:space="preserve"> pruniforme SAG 62.79 (Fig. 10), has a version of </w:t>
      </w:r>
      <w:r>
        <w:rPr>
          <w:i/>
          <w:lang w:val="en-US"/>
        </w:rPr>
        <w:t>nifH</w:t>
      </w:r>
      <w:r>
        <w:rPr>
          <w:lang w:val="en-US"/>
        </w:rPr>
        <w:t xml:space="preserve"> that falls within this “</w:t>
      </w:r>
      <w:r>
        <w:rPr>
          <w:i/>
          <w:lang w:val="en-US"/>
        </w:rPr>
        <w:t>Stigonema</w:t>
      </w:r>
      <w:r>
        <w:rPr>
          <w:lang w:val="en-US"/>
        </w:rPr>
        <w:t xml:space="preserve">” cluster, but also hosts two other </w:t>
      </w:r>
      <w:r>
        <w:rPr>
          <w:i/>
          <w:lang w:val="en-US"/>
        </w:rPr>
        <w:t>nifH</w:t>
      </w:r>
      <w:r>
        <w:rPr>
          <w:lang w:val="en-US"/>
        </w:rPr>
        <w:t xml:space="preserve"> genes from other clusters sensu Ininbergs et al. (2011) (Fig. 9 and Supp. Fig. </w:t>
      </w:r>
      <w:r>
        <w:rPr>
          <w:lang w:val="en-US"/>
        </w:rPr>
        <w:t>___</w:t>
      </w:r>
      <w:r>
        <w:rPr>
          <w:lang w:val="en-US"/>
        </w:rPr>
        <w:t>2</w:t>
      </w:r>
      <w:r>
        <w:rPr>
          <w:lang w:val="en-US"/>
        </w:rPr>
        <w:t>___</w:t>
      </w:r>
      <w:r>
        <w:rPr>
          <w:lang w:val="en-US"/>
        </w:rPr>
        <w:t xml:space="preserve">). </w:t>
      </w:r>
    </w:p>
    <w:p>
      <w:pPr>
        <w:pStyle w:val="Normal"/>
        <w:rPr>
          <w:lang w:val="en-US"/>
        </w:rPr>
      </w:pPr>
      <w:r>
        <w:rPr>
          <w:lang w:val="en-US"/>
        </w:rPr>
      </w:r>
    </w:p>
    <w:p>
      <w:pPr>
        <w:pStyle w:val="Normal"/>
        <w:rPr/>
      </w:pPr>
      <w:r>
        <w:rPr>
          <w:lang w:val="en-US"/>
        </w:rPr>
        <w:t xml:space="preserve">We also observed the possible endophytic colonization of moss stems by cyanobacteria (Fig. 7). Among mosses, cyanobacterial endophytes are only previously known in </w:t>
      </w:r>
      <w:r>
        <w:rPr>
          <w:i/>
          <w:lang w:val="en-US"/>
        </w:rPr>
        <w:t>Sphagnum</w:t>
      </w:r>
      <w:r>
        <w:rPr>
          <w:lang w:val="en-US"/>
        </w:rPr>
        <w:t xml:space="preserve">, which hosts </w:t>
      </w:r>
      <w:r>
        <w:rPr>
          <w:i/>
          <w:lang w:val="en-US"/>
        </w:rPr>
        <w:t>Nostoc</w:t>
      </w:r>
      <w:r>
        <w:rPr>
          <w:lang w:val="en-US"/>
        </w:rPr>
        <w:t xml:space="preserve"> and other bacteria in specialized structures known as hyalocytes, or dead, hyaline leaf cells (Carrell et al., 2022). Moss leaflet lamina are typically only one cell thick (Roberts et al., 2012), probably precluding abundant endophytic colonization of leaves by microbes that is commonly observed in vascular plants (Bodenhausen et al., 2013; Rodriguez et al., 2009). Stems (‘caulids’) and rhizoids of mosses are multicellular, and are therefore presumably the site of colonization of much of the extensively documented, diverse non-cyanobacterial endophytes observed in mosses (Tveit et al., 2020; U’Ren et al., 2010). If the observed cells are indeed cyanobacteria occupying the stem tissue of mosses, it points to an abundant symbiosis. We found large epiphytic colonies of </w:t>
      </w:r>
      <w:r>
        <w:rPr>
          <w:i/>
          <w:iCs/>
          <w:lang w:val="en-US"/>
        </w:rPr>
        <w:t>Nostoc</w:t>
      </w:r>
      <w:r>
        <w:rPr>
          <w:lang w:val="en-US"/>
        </w:rPr>
        <w:t xml:space="preserve">-like organisms relatively rarely in our mosses, so the possibility exists that much of the relatively high rates of nitrogen fixation by cyanobacteria among mosses in our region as noted by Groß et al. (2024) may be achieved by these potential endophytic symbionts instead. Endophytic colonization by </w:t>
      </w:r>
      <w:r>
        <w:rPr>
          <w:i/>
          <w:iCs/>
          <w:lang w:val="en-US"/>
        </w:rPr>
        <w:t>Nostoc</w:t>
      </w:r>
      <w:r>
        <w:rPr>
          <w:lang w:val="en-US"/>
        </w:rPr>
        <w:t xml:space="preserve"> and other cyanobacteria is well documented in other plant- and algal-symbiotic systems, including in </w:t>
      </w:r>
      <w:r>
        <w:rPr>
          <w:i/>
          <w:iCs/>
          <w:lang w:val="en-US"/>
        </w:rPr>
        <w:t>Sphagnum</w:t>
      </w:r>
      <w:r>
        <w:rPr>
          <w:lang w:val="en-US"/>
        </w:rPr>
        <w:t xml:space="preserve"> spp., and hornwort and liverwort hosts (reviewed by Adams and Duggan (2008)), albeit in protective plant compartments such as hyalocytes, auricles, or slime-cavities. Further experimental work is needed to confirm the cyanobacterial nature of these cells, and if they are capable of nitrogen fixation. </w:t>
      </w:r>
    </w:p>
    <w:p>
      <w:pPr>
        <w:pStyle w:val="Heading2"/>
        <w:rPr>
          <w:lang w:val="en-US"/>
        </w:rPr>
      </w:pPr>
      <w:r>
        <w:rPr>
          <w:lang w:val="en-US"/>
        </w:rPr>
        <w:t>Conclusion</w:t>
      </w:r>
    </w:p>
    <w:p>
      <w:pPr>
        <w:pStyle w:val="Normal"/>
        <w:rPr>
          <w:lang w:val="en-US"/>
        </w:rPr>
      </w:pPr>
      <w:r>
        <w:rPr>
          <w:lang w:val="en-US"/>
        </w:rPr>
      </w:r>
    </w:p>
    <w:p>
      <w:pPr>
        <w:pStyle w:val="Normal"/>
        <w:rPr/>
      </w:pPr>
      <w:r>
        <w:rPr>
          <w:lang w:val="en-US"/>
        </w:rPr>
        <w:t xml:space="preserve">Here we extend the known geographical range of the classical feather moss </w:t>
      </w:r>
      <w:r>
        <w:rPr>
          <w:i/>
          <w:iCs/>
          <w:lang w:val="en-US"/>
        </w:rPr>
        <w:t>Hylocomium</w:t>
      </w:r>
      <w:r>
        <w:rPr>
          <w:lang w:val="en-US"/>
        </w:rPr>
        <w:t>/</w:t>
      </w:r>
      <w:r>
        <w:rPr>
          <w:i/>
          <w:iCs/>
          <w:lang w:val="en-US"/>
        </w:rPr>
        <w:t xml:space="preserve">Nostoc </w:t>
      </w:r>
      <w:r>
        <w:rPr>
          <w:i w:val="false"/>
          <w:iCs w:val="false"/>
          <w:lang w:val="en-US"/>
        </w:rPr>
        <w:t>symbiosis</w:t>
      </w:r>
      <w:r>
        <w:rPr>
          <w:i/>
          <w:iCs/>
          <w:lang w:val="en-US"/>
        </w:rPr>
        <w:t xml:space="preserve"> </w:t>
      </w:r>
      <w:r>
        <w:rPr>
          <w:i w:val="false"/>
          <w:iCs w:val="false"/>
          <w:lang w:val="en-US"/>
        </w:rPr>
        <w:t>further</w:t>
      </w:r>
      <w:r>
        <w:rPr>
          <w:i/>
          <w:iCs/>
          <w:lang w:val="en-US"/>
        </w:rPr>
        <w:t xml:space="preserve"> </w:t>
      </w:r>
      <w:r>
        <w:rPr>
          <w:i w:val="false"/>
          <w:iCs w:val="false"/>
          <w:lang w:val="en-US"/>
        </w:rPr>
        <w:t>into the region of central Europe, highlighting</w:t>
      </w:r>
      <w:r>
        <w:rPr>
          <w:lang w:val="en-US"/>
        </w:rPr>
        <w:t xml:space="preserve"> the importance of moss layers for nitrogen cycling in montane forests of central Europe. </w:t>
      </w:r>
      <w:r>
        <w:rPr>
          <w:i w:val="false"/>
          <w:iCs w:val="false"/>
          <w:lang w:val="en-US"/>
        </w:rPr>
        <w:t>We expand the known host range of to include additional non-feather mosses (</w:t>
      </w:r>
      <w:r>
        <w:rPr>
          <w:i/>
          <w:iCs/>
          <w:lang w:val="en-US"/>
        </w:rPr>
        <w:t xml:space="preserve">Orthotrichum </w:t>
      </w:r>
      <w:r>
        <w:rPr>
          <w:i w:val="false"/>
          <w:iCs w:val="false"/>
          <w:lang w:val="en-US"/>
        </w:rPr>
        <w:t>and</w:t>
      </w:r>
      <w:r>
        <w:rPr>
          <w:i/>
          <w:iCs/>
          <w:lang w:val="en-US"/>
        </w:rPr>
        <w:t xml:space="preserve"> Zygodon</w:t>
      </w:r>
      <w:r>
        <w:rPr>
          <w:i w:val="false"/>
          <w:iCs w:val="false"/>
          <w:lang w:val="en-US"/>
        </w:rPr>
        <w:t xml:space="preserve">), as well as to other feather mosses not previously observed to host </w:t>
      </w:r>
      <w:r>
        <w:rPr>
          <w:i/>
          <w:iCs/>
          <w:lang w:val="en-US"/>
        </w:rPr>
        <w:t>Nostoc</w:t>
      </w:r>
      <w:r>
        <w:rPr>
          <w:i w:val="false"/>
          <w:iCs w:val="false"/>
          <w:lang w:val="en-US"/>
        </w:rPr>
        <w:t xml:space="preserve"> symbionts (</w:t>
      </w:r>
      <w:r>
        <w:rPr>
          <w:i/>
          <w:iCs/>
          <w:lang w:val="en-US"/>
        </w:rPr>
        <w:t>Pseudoambylestegium, Homalium</w:t>
      </w:r>
      <w:r>
        <w:rPr>
          <w:i w:val="false"/>
          <w:iCs w:val="false"/>
          <w:lang w:val="en-US"/>
        </w:rPr>
        <w:t xml:space="preserve">). We note that multiple paralogs of </w:t>
      </w:r>
      <w:r>
        <w:rPr>
          <w:i/>
          <w:iCs w:val="false"/>
          <w:lang w:val="en-US"/>
        </w:rPr>
        <w:t>nifH</w:t>
      </w:r>
      <w:r>
        <w:rPr>
          <w:i w:val="false"/>
          <w:iCs w:val="false"/>
          <w:lang w:val="en-US"/>
        </w:rPr>
        <w:t xml:space="preserve"> can be found within some </w:t>
      </w:r>
      <w:r>
        <w:rPr>
          <w:i/>
          <w:iCs/>
          <w:lang w:val="en-US"/>
        </w:rPr>
        <w:t>Nostoc-</w:t>
      </w:r>
      <w:r>
        <w:rPr>
          <w:i w:val="false"/>
          <w:iCs w:val="false"/>
          <w:lang w:val="en-US"/>
        </w:rPr>
        <w:t xml:space="preserve">like organisms, which may denote adaptation to the dynamic environment of the forest canopy, but which also implies that great care be applied when attempting to identify these </w:t>
      </w:r>
      <w:r>
        <w:rPr>
          <w:i/>
          <w:iCs w:val="false"/>
          <w:lang w:val="en-US"/>
        </w:rPr>
        <w:t>Nostoc</w:t>
      </w:r>
      <w:r>
        <w:rPr>
          <w:i w:val="false"/>
          <w:iCs w:val="false"/>
          <w:lang w:val="en-US"/>
        </w:rPr>
        <w:t xml:space="preserve">aceae symbionts with </w:t>
      </w:r>
      <w:r>
        <w:rPr>
          <w:i/>
          <w:iCs w:val="false"/>
          <w:lang w:val="en-US"/>
        </w:rPr>
        <w:t>nifH</w:t>
      </w:r>
      <w:r>
        <w:rPr>
          <w:i w:val="false"/>
          <w:iCs w:val="false"/>
          <w:lang w:val="en-US"/>
        </w:rPr>
        <w:t xml:space="preserve"> gene sequence data.  We also report a potential site of high cyanbacterial colonization, namely the endophytic compartment of the “stem” (caulid) of mosses. If occurring, this implies an abundant, physically-protected symbiosis but not with </w:t>
      </w:r>
      <w:r>
        <w:rPr>
          <w:i/>
          <w:iCs/>
          <w:lang w:val="en-US"/>
        </w:rPr>
        <w:t>Nostoc,</w:t>
      </w:r>
      <w:r>
        <w:rPr>
          <w:i w:val="false"/>
          <w:iCs w:val="false"/>
          <w:lang w:val="en-US"/>
        </w:rPr>
        <w:t xml:space="preserve"> or at least not in the large-colony stages. </w:t>
      </w:r>
    </w:p>
    <w:p>
      <w:pPr>
        <w:pStyle w:val="Normal"/>
        <w:rPr>
          <w:i w:val="false"/>
          <w:i w:val="false"/>
          <w:iCs w:val="false"/>
          <w:lang w:val="en-US"/>
        </w:rPr>
      </w:pPr>
      <w:r>
        <w:rPr>
          <w:i w:val="false"/>
          <w:iCs w:val="false"/>
          <w:lang w:val="en-US"/>
        </w:rPr>
      </w:r>
    </w:p>
    <w:p>
      <w:pPr>
        <w:pStyle w:val="Normal"/>
        <w:rPr/>
      </w:pPr>
      <w:r>
        <w:rPr>
          <w:i w:val="false"/>
          <w:iCs w:val="false"/>
          <w:lang w:val="en-US"/>
        </w:rPr>
        <w:t>Taken together, these results help to bridge the gap between two commonly observed forest moss symbioses: (1) few-to-few, feather moss/</w:t>
      </w:r>
      <w:r>
        <w:rPr>
          <w:i/>
          <w:iCs/>
          <w:lang w:val="en-US"/>
        </w:rPr>
        <w:t>Nostoc</w:t>
      </w:r>
      <w:r>
        <w:rPr>
          <w:i w:val="false"/>
          <w:iCs w:val="false"/>
          <w:lang w:val="en-US"/>
        </w:rPr>
        <w:t xml:space="preserve"> symbioses, and (2) many-to-many moss/cyanobacterial-community symbioses. From our survey, the former appear to occur in our region but relatively rarely. Based on other reports (cited above), the latter class of broader cyanobacterial symbioses is apparently ubiquitous in mosses where nitrogen is limiting, including in our region. The question now arises as to whether there are particular advantages for mosses to entering into symbiosis with </w:t>
      </w:r>
      <w:r>
        <w:rPr>
          <w:i/>
          <w:iCs/>
          <w:lang w:val="en-US"/>
        </w:rPr>
        <w:t>Nostoc-</w:t>
      </w:r>
      <w:r>
        <w:rPr>
          <w:i w:val="false"/>
          <w:iCs w:val="false"/>
          <w:lang w:val="en-US"/>
        </w:rPr>
        <w:t>like organisms in particular, or whether these feather moss/</w:t>
      </w:r>
      <w:r>
        <w:rPr>
          <w:i/>
          <w:iCs/>
          <w:lang w:val="en-US"/>
        </w:rPr>
        <w:t xml:space="preserve">Nostoc </w:t>
      </w:r>
      <w:r>
        <w:rPr>
          <w:i w:val="false"/>
          <w:iCs w:val="false"/>
          <w:lang w:val="en-US"/>
        </w:rPr>
        <w:t xml:space="preserve">symbioses are simply another case of very common moss-cyanobacterial symbioses. It is also very possible that complex and diverse cyanobacterial communities in mosses have been understudied historically by researchers when highly visible and charismatic </w:t>
      </w:r>
      <w:r>
        <w:rPr>
          <w:i/>
          <w:iCs/>
          <w:lang w:val="en-US"/>
        </w:rPr>
        <w:t>Nostoc</w:t>
      </w:r>
      <w:r>
        <w:rPr>
          <w:i w:val="false"/>
          <w:iCs w:val="false"/>
          <w:lang w:val="en-US"/>
        </w:rPr>
        <w:t xml:space="preserve"> colonies are present. However, in the course of our surveys we noted </w:t>
      </w:r>
      <w:r>
        <w:rPr>
          <w:i/>
          <w:iCs/>
          <w:lang w:val="en-US"/>
        </w:rPr>
        <w:t>Nostoc-</w:t>
      </w:r>
      <w:r>
        <w:rPr>
          <w:i w:val="false"/>
          <w:iCs w:val="false"/>
          <w:lang w:val="en-US"/>
        </w:rPr>
        <w:t xml:space="preserve">like colonies more often in arboreal habitat, and in locally uncommon mosses that were relatively specialized tree-epiphytic mosses such as </w:t>
      </w:r>
      <w:r>
        <w:rPr>
          <w:i/>
          <w:iCs/>
          <w:lang w:val="en-US"/>
        </w:rPr>
        <w:t>Zygodon</w:t>
      </w:r>
      <w:r>
        <w:rPr>
          <w:i w:val="false"/>
          <w:iCs w:val="false"/>
          <w:lang w:val="en-US"/>
        </w:rPr>
        <w:t xml:space="preserve">. As such we suggest that host-symbiont specialization could be occuring in the special habitat of the forest canopy. However, quantitative surveys to compare the prevalence of </w:t>
      </w:r>
      <w:r>
        <w:rPr>
          <w:i/>
          <w:iCs/>
          <w:lang w:val="en-US"/>
        </w:rPr>
        <w:t>Nostoc-</w:t>
      </w:r>
      <w:r>
        <w:rPr>
          <w:i w:val="false"/>
          <w:iCs w:val="false"/>
          <w:lang w:val="en-US"/>
        </w:rPr>
        <w:t>like organisms between the among habitats are still mostly lacking, and the unique benefits of such specialized canopy symbioses, if any, are yet to be explored.</w:t>
      </w:r>
    </w:p>
    <w:p>
      <w:pPr>
        <w:pStyle w:val="Heading1"/>
        <w:suppressLineNumbers w:val="0"/>
        <w:bidi w:val="0"/>
        <w:spacing w:lineRule="auto" w:line="276" w:before="400" w:after="120"/>
        <w:ind w:hanging="0" w:start="0" w:end="0"/>
        <w:jc w:val="start"/>
        <w:rPr>
          <w:lang w:val="en-US"/>
        </w:rPr>
      </w:pPr>
      <w:r>
        <w:rPr>
          <w:lang w:val="en-US"/>
        </w:rPr>
        <w:t>Declarations</w:t>
      </w:r>
    </w:p>
    <w:p>
      <w:pPr>
        <w:pStyle w:val="Normal"/>
        <w:rPr/>
      </w:pPr>
      <w:r>
        <w:rPr>
          <w:b/>
          <w:bCs/>
          <w:lang w:val="en-US"/>
        </w:rPr>
        <w:t xml:space="preserve">Funding </w:t>
      </w:r>
      <w:r>
        <w:rPr>
          <w:lang w:val="en-US"/>
        </w:rPr>
        <w:t>- University of Bayreuth chair of Microbial Ecology funded microbial aspects of research</w:t>
      </w:r>
    </w:p>
    <w:p>
      <w:pPr>
        <w:pStyle w:val="Normal"/>
        <w:rPr/>
      </w:pPr>
      <w:r>
        <w:rPr>
          <w:b/>
          <w:bCs/>
          <w:lang w:val="en-US"/>
        </w:rPr>
        <w:t>Conflicts of interest/Competing interests</w:t>
      </w:r>
      <w:r>
        <w:rPr>
          <w:lang w:val="en-US"/>
        </w:rPr>
        <w:t xml:space="preserve"> - the authors declare no conflicts of interest</w:t>
      </w:r>
    </w:p>
    <w:p>
      <w:pPr>
        <w:pStyle w:val="Normal"/>
        <w:rPr/>
      </w:pPr>
      <w:r>
        <w:rPr>
          <w:b/>
          <w:bCs/>
          <w:lang w:val="en-US"/>
        </w:rPr>
        <w:t>Ethics approval</w:t>
      </w:r>
      <w:r>
        <w:rPr>
          <w:lang w:val="en-US"/>
        </w:rPr>
        <w:t xml:space="preserve"> - This article does not contain any studies with human participants or animals performed by any of the authors.</w:t>
      </w:r>
    </w:p>
    <w:p>
      <w:pPr>
        <w:pStyle w:val="Normal"/>
        <w:rPr/>
      </w:pPr>
      <w:r>
        <w:rPr>
          <w:b/>
          <w:bCs/>
          <w:lang w:val="en-US"/>
        </w:rPr>
        <w:t>Consent to participate</w:t>
      </w:r>
      <w:r>
        <w:rPr>
          <w:lang w:val="en-US"/>
        </w:rPr>
        <w:t xml:space="preserve"> - not applicable</w:t>
      </w:r>
    </w:p>
    <w:p>
      <w:pPr>
        <w:pStyle w:val="Normal"/>
        <w:rPr/>
      </w:pPr>
      <w:r>
        <w:rPr>
          <w:b/>
          <w:bCs/>
          <w:lang w:val="en-US"/>
        </w:rPr>
        <w:t>Consent for publication</w:t>
      </w:r>
      <w:r>
        <w:rPr>
          <w:lang w:val="en-US"/>
        </w:rPr>
        <w:t xml:space="preserve"> - not applicable</w:t>
      </w:r>
    </w:p>
    <w:p>
      <w:pPr>
        <w:pStyle w:val="Normal"/>
        <w:bidi w:val="0"/>
        <w:rPr/>
      </w:pPr>
      <w:r>
        <w:rPr>
          <w:b/>
          <w:bCs/>
          <w:lang w:val="en-US"/>
        </w:rPr>
        <w:t>Availability of data and material</w:t>
      </w:r>
      <w:r>
        <w:rPr>
          <w:lang w:val="en-US"/>
        </w:rPr>
        <w:t xml:space="preserve"> - code and supporting files are available at the associated github.com repo in the folder "suppData", at the following link: &lt;</w:t>
      </w:r>
      <w:hyperlink r:id="rId22">
        <w:r>
          <w:rPr>
            <w:rStyle w:val="Hyperlink"/>
            <w:lang w:val="en-US"/>
          </w:rPr>
          <w:t>https://github.com/danchurch/scalingUpByLookingCloser_Feulner_etal/tree/main/suppData</w:t>
        </w:r>
      </w:hyperlink>
      <w:r>
        <w:rPr>
          <w:lang w:val="en-US"/>
        </w:rPr>
        <w:t xml:space="preserve">&gt;. Demultiplexed, raw Nanopore reads are available at NCBI SRA, from the bioproject PRJNA1401537. 16s rRNA and </w:t>
      </w:r>
      <w:r>
        <w:rPr>
          <w:i/>
          <w:iCs/>
          <w:lang w:val="en-US"/>
        </w:rPr>
        <w:t>nifH</w:t>
      </w:r>
      <w:r>
        <w:rPr>
          <w:lang w:val="en-US"/>
        </w:rPr>
        <w:t xml:space="preserve"> consensus sequences are available at the NCBI Nucleotide Database. GenBank accession numbers for 16s rRNA consensus sequences are: PX869778, PX856665, PX856666, PX856664.  GenBank accession numbers for nifH consensus sequences are PX892065, PX892066 - PX892068, PX892069 - PX892071.</w:t>
      </w:r>
    </w:p>
    <w:p>
      <w:pPr>
        <w:pStyle w:val="Heading2"/>
        <w:bidi w:val="0"/>
        <w:rPr>
          <w:lang w:val="en-US"/>
        </w:rPr>
      </w:pPr>
      <w:r>
        <w:rPr>
          <w:lang w:val="en-US"/>
        </w:rPr>
        <w:t>Author Contributions</w:t>
      </w:r>
    </w:p>
    <w:p>
      <w:pPr>
        <w:pStyle w:val="Normal"/>
        <w:rPr/>
      </w:pPr>
      <w:r>
        <w:rPr>
          <w:lang w:val="en-US"/>
        </w:rPr>
        <w:t xml:space="preserve">MF conceived of the survey topic and design. All authors contributed to field work. MF, US, FJPD, and DCT contributed to microscopic imaging and culturing of microorganisms. JM contributed the hand-drawn illustration of </w:t>
      </w:r>
      <w:r>
        <w:rPr>
          <w:i/>
          <w:lang w:val="en-US"/>
        </w:rPr>
        <w:t>Hylocomium</w:t>
      </w:r>
      <w:r>
        <w:rPr>
          <w:lang w:val="en-US"/>
        </w:rPr>
        <w:t xml:space="preserve"> moss and </w:t>
      </w:r>
      <w:r>
        <w:rPr>
          <w:i/>
          <w:lang w:val="en-US"/>
        </w:rPr>
        <w:t>Nostoc</w:t>
      </w:r>
      <w:r>
        <w:rPr>
          <w:lang w:val="en-US"/>
        </w:rPr>
        <w:t xml:space="preserve"> (figure 1). MF and US identified moss species. JM, FJPD and DCT conducted laboratory experiments. DCT conducted DNA sequencing and wrote bioinformatic pipelines. MF and DCT wrote the manuscript, and other authors provided editorial input. </w:t>
      </w:r>
    </w:p>
    <w:p>
      <w:pPr>
        <w:pStyle w:val="Normal"/>
        <w:rPr>
          <w:lang w:val="en-US"/>
        </w:rPr>
      </w:pPr>
      <w:r>
        <w:rPr>
          <w:lang w:val="en-US"/>
        </w:rPr>
      </w:r>
    </w:p>
    <w:p>
      <w:pPr>
        <w:pStyle w:val="Heading1"/>
        <w:rPr/>
      </w:pPr>
      <w:bookmarkStart w:id="11" w:name="_ytyy3v9o55t5"/>
      <w:bookmarkEnd w:id="11"/>
      <w:r>
        <w:rPr/>
        <w:t>Works cited</w:t>
      </w:r>
    </w:p>
    <w:p>
      <w:pPr>
        <w:pStyle w:val="Normal"/>
        <w:spacing w:before="0" w:after="200"/>
        <w:ind w:hanging="0" w:start="0" w:end="0"/>
        <w:rPr/>
      </w:pPr>
      <w:r>
        <w:rPr>
          <w:sz w:val="16"/>
          <w:szCs w:val="16"/>
          <w:lang w:val="en-US"/>
        </w:rPr>
        <w:t xml:space="preserve">Adams DG, Duggan PS (2008) Cyanobacteria–bryophyte symbioses. J Exp Bot 59:1047–1058. </w:t>
      </w:r>
      <w:hyperlink r:id="rId23">
        <w:r>
          <w:rPr>
            <w:rStyle w:val="ListLabel50"/>
            <w:sz w:val="16"/>
            <w:szCs w:val="16"/>
            <w:lang w:val="en-US"/>
          </w:rPr>
          <w:t>https://doi.org/10.1093/jxb/ern005</w:t>
        </w:r>
      </w:hyperlink>
    </w:p>
    <w:p>
      <w:pPr>
        <w:pStyle w:val="Normal"/>
        <w:spacing w:before="0" w:after="200"/>
        <w:ind w:hanging="0" w:start="0" w:end="0"/>
        <w:rPr/>
      </w:pPr>
      <w:r>
        <w:rPr>
          <w:sz w:val="16"/>
          <w:szCs w:val="16"/>
          <w:lang w:val="en-US"/>
        </w:rPr>
        <w:t xml:space="preserve">Altschul SF, Gish W, Miller W, et al (1990) Basic local alignment search tool. Journal of Molecular Biology 215:403–410. </w:t>
      </w:r>
      <w:hyperlink r:id="rId24">
        <w:r>
          <w:rPr>
            <w:rStyle w:val="ListLabel50"/>
            <w:sz w:val="16"/>
            <w:szCs w:val="16"/>
            <w:lang w:val="en-US"/>
          </w:rPr>
          <w:t>https://doi.org/10.1016/S0022-2836(05)80360-2</w:t>
        </w:r>
      </w:hyperlink>
    </w:p>
    <w:p>
      <w:pPr>
        <w:pStyle w:val="Normal"/>
        <w:spacing w:before="0" w:after="200"/>
        <w:ind w:hanging="0" w:start="0" w:end="0"/>
        <w:rPr/>
      </w:pPr>
      <w:r>
        <w:rPr>
          <w:sz w:val="16"/>
          <w:szCs w:val="16"/>
          <w:lang w:val="en-US"/>
        </w:rPr>
        <w:t xml:space="preserve">Alvarenga DO, Priemé A, Rousk K (2024) The Feather Moss </w:t>
      </w:r>
      <w:r>
        <w:rPr>
          <w:i/>
          <w:sz w:val="16"/>
          <w:szCs w:val="16"/>
          <w:lang w:val="en-US"/>
        </w:rPr>
        <w:t>Hylocomium splendens</w:t>
      </w:r>
      <w:r>
        <w:rPr>
          <w:sz w:val="16"/>
          <w:szCs w:val="16"/>
          <w:lang w:val="en-US"/>
        </w:rPr>
        <w:t xml:space="preserve"> Affects the Transcriptional Profile of a Symbiotic Cyanobacterium in Relation to Acquisition and Turnover of Key Nutrients. Microb Ecol 87:49. </w:t>
      </w:r>
      <w:hyperlink r:id="rId25">
        <w:r>
          <w:rPr>
            <w:rStyle w:val="ListLabel50"/>
            <w:sz w:val="16"/>
            <w:szCs w:val="16"/>
            <w:lang w:val="en-US"/>
          </w:rPr>
          <w:t>https://doi.org/10.1007/s00248-024-02363-6</w:t>
        </w:r>
      </w:hyperlink>
    </w:p>
    <w:p>
      <w:pPr>
        <w:pStyle w:val="Normal"/>
        <w:spacing w:before="0" w:after="200"/>
        <w:ind w:hanging="0" w:start="0" w:end="0"/>
        <w:rPr/>
      </w:pPr>
      <w:r>
        <w:rPr>
          <w:sz w:val="16"/>
          <w:szCs w:val="16"/>
          <w:lang w:val="en-US"/>
        </w:rPr>
        <w:t xml:space="preserve">Alvarenga DO, Rousk K (2022) Unraveling host–microbe interactions and ecosystem functions in moss–bacteria symbioses. Journal of Experimental Botany 73:4473–4486. </w:t>
      </w:r>
      <w:hyperlink r:id="rId26">
        <w:r>
          <w:rPr>
            <w:rStyle w:val="ListLabel50"/>
            <w:sz w:val="16"/>
            <w:szCs w:val="16"/>
            <w:lang w:val="en-US"/>
          </w:rPr>
          <w:t>https://doi.org/10.1093/jxb/erac091</w:t>
        </w:r>
      </w:hyperlink>
    </w:p>
    <w:p>
      <w:pPr>
        <w:pStyle w:val="Normal"/>
        <w:spacing w:before="0" w:after="200"/>
        <w:ind w:hanging="0" w:start="0" w:end="0"/>
        <w:rPr/>
      </w:pPr>
      <w:r>
        <w:rPr>
          <w:sz w:val="16"/>
          <w:szCs w:val="16"/>
          <w:lang w:val="en-US"/>
        </w:rPr>
        <w:t xml:space="preserve">Angel R, Nepel M, Panhölzl C, et al (2018) Evaluation of Primers Targeting the Diazotroph Functional Gene and Development of NifMAP – A Bioinformatics Pipeline for Analyzing </w:t>
      </w:r>
      <w:r>
        <w:rPr>
          <w:i/>
          <w:sz w:val="16"/>
          <w:szCs w:val="16"/>
          <w:lang w:val="en-US"/>
        </w:rPr>
        <w:t>nifH</w:t>
      </w:r>
      <w:r>
        <w:rPr>
          <w:sz w:val="16"/>
          <w:szCs w:val="16"/>
          <w:lang w:val="en-US"/>
        </w:rPr>
        <w:t xml:space="preserve"> Amplicon Data. Front Microbiol 9:. </w:t>
      </w:r>
      <w:hyperlink r:id="rId27">
        <w:r>
          <w:rPr>
            <w:rStyle w:val="ListLabel50"/>
            <w:sz w:val="16"/>
            <w:szCs w:val="16"/>
            <w:lang w:val="en-US"/>
          </w:rPr>
          <w:t>https://doi.org/10.3389/fmicb.2018.00703</w:t>
        </w:r>
      </w:hyperlink>
    </w:p>
    <w:p>
      <w:pPr>
        <w:pStyle w:val="Normal"/>
        <w:spacing w:before="0" w:after="200"/>
        <w:ind w:hanging="0" w:start="0" w:end="0"/>
        <w:rPr/>
      </w:pPr>
      <w:r>
        <w:rPr>
          <w:sz w:val="16"/>
          <w:szCs w:val="16"/>
          <w:lang w:val="en-US"/>
        </w:rPr>
        <w:t xml:space="preserve">Arróniz-Crespo M, Bougoure J, Murphy DV, et al (2022) Revealing the transfer pathways of cyanobacterial-fixed N into the boreal forest through the feather-moss microbiome. Front Plant Sci 13:. </w:t>
      </w:r>
      <w:hyperlink r:id="rId28">
        <w:r>
          <w:rPr>
            <w:rStyle w:val="ListLabel50"/>
            <w:sz w:val="16"/>
            <w:szCs w:val="16"/>
            <w:lang w:val="en-US"/>
          </w:rPr>
          <w:t>https://doi.org/10.3389/fpls.2022.1036258</w:t>
        </w:r>
      </w:hyperlink>
    </w:p>
    <w:p>
      <w:pPr>
        <w:pStyle w:val="Normal"/>
        <w:spacing w:before="0" w:after="200"/>
        <w:ind w:hanging="0" w:start="0" w:end="0"/>
        <w:rPr/>
      </w:pPr>
      <w:r>
        <w:rPr>
          <w:sz w:val="16"/>
          <w:szCs w:val="16"/>
          <w:lang w:val="en-US"/>
        </w:rPr>
        <w:t xml:space="preserve">Arróniz-Crespo M, Pérez-Ortega S, Ríos AD los, et al (2014) Bryophyte-Cyanobacteria Associations during Primary Succession in Recently Deglaciated Areas of Tierra del Fuego (Chile). PLOS ONE 9:e96081. </w:t>
      </w:r>
      <w:hyperlink r:id="rId29">
        <w:r>
          <w:rPr>
            <w:rStyle w:val="ListLabel50"/>
            <w:sz w:val="16"/>
            <w:szCs w:val="16"/>
            <w:lang w:val="en-US"/>
          </w:rPr>
          <w:t>https://doi.org/10.1371/journal.pone.0096081</w:t>
        </w:r>
      </w:hyperlink>
    </w:p>
    <w:p>
      <w:pPr>
        <w:pStyle w:val="Normal"/>
        <w:spacing w:before="0" w:after="200"/>
        <w:ind w:hanging="0" w:start="0" w:end="0"/>
        <w:rPr/>
      </w:pPr>
      <w:r>
        <w:rPr>
          <w:sz w:val="16"/>
          <w:szCs w:val="16"/>
          <w:lang w:val="en-US"/>
        </w:rPr>
        <w:t xml:space="preserve">Bay G, Nahar N, Oubre M, et al (2013) Boreal feather mosses secrete chemical signals to gain nitrogen. New Phytologist 200:54–60. </w:t>
      </w:r>
      <w:hyperlink r:id="rId30">
        <w:r>
          <w:rPr>
            <w:rStyle w:val="ListLabel50"/>
            <w:sz w:val="16"/>
            <w:szCs w:val="16"/>
            <w:lang w:val="en-US"/>
          </w:rPr>
          <w:t>https://doi.org/10.1111/nph.12403</w:t>
        </w:r>
      </w:hyperlink>
    </w:p>
    <w:p>
      <w:pPr>
        <w:pStyle w:val="Normal"/>
        <w:spacing w:before="0" w:after="200"/>
        <w:ind w:hanging="0" w:start="0" w:end="0"/>
        <w:rPr/>
      </w:pPr>
      <w:r>
        <w:rPr>
          <w:sz w:val="16"/>
          <w:szCs w:val="16"/>
          <w:lang w:val="en-US"/>
        </w:rPr>
        <w:t xml:space="preserve">Berg A, Danielsson Å, Svensson BH (2013) Transfer of fixed-N from N2-fixing cyanobacteria associated with the moss </w:t>
      </w:r>
      <w:r>
        <w:rPr>
          <w:i/>
          <w:sz w:val="16"/>
          <w:szCs w:val="16"/>
          <w:lang w:val="en-US"/>
        </w:rPr>
        <w:t>Sphagnum</w:t>
      </w:r>
      <w:r>
        <w:rPr>
          <w:sz w:val="16"/>
          <w:szCs w:val="16"/>
          <w:lang w:val="en-US"/>
        </w:rPr>
        <w:t xml:space="preserve"> riparium results in enhanced growth of the moss. Plant Soil 362:271–278. </w:t>
      </w:r>
      <w:hyperlink r:id="rId31">
        <w:r>
          <w:rPr>
            <w:rStyle w:val="ListLabel50"/>
            <w:sz w:val="16"/>
            <w:szCs w:val="16"/>
            <w:lang w:val="en-US"/>
          </w:rPr>
          <w:t>https://doi.org/10.1007/s11104-012-1278-4</w:t>
        </w:r>
      </w:hyperlink>
    </w:p>
    <w:p>
      <w:pPr>
        <w:pStyle w:val="Normal"/>
        <w:spacing w:before="0" w:after="200"/>
        <w:ind w:hanging="0" w:start="0" w:end="0"/>
        <w:rPr/>
      </w:pPr>
      <w:r>
        <w:rPr>
          <w:sz w:val="16"/>
          <w:szCs w:val="16"/>
          <w:lang w:val="en-US"/>
        </w:rPr>
        <w:t xml:space="preserve">Bodenhausen N, Horton MW, Bergelson J (2013) Bacterial Communities Associated with the Leaves and the Roots of Arabidopsis thaliana. PLOS ONE 8:e56329. </w:t>
      </w:r>
      <w:hyperlink r:id="rId32">
        <w:r>
          <w:rPr>
            <w:rStyle w:val="Hyperlink"/>
            <w:sz w:val="16"/>
            <w:szCs w:val="16"/>
            <w:lang w:val="en-US"/>
          </w:rPr>
          <w:t>https://doi.org/10.1371/journal.pone.0056329</w:t>
        </w:r>
      </w:hyperlink>
    </w:p>
    <w:p>
      <w:pPr>
        <w:pStyle w:val="Normal"/>
        <w:spacing w:before="0" w:after="200"/>
        <w:ind w:hanging="0" w:start="0" w:end="0"/>
        <w:rPr>
          <w:sz w:val="16"/>
          <w:szCs w:val="16"/>
        </w:rPr>
      </w:pPr>
      <w:r>
        <w:rPr>
          <w:sz w:val="16"/>
          <w:szCs w:val="16"/>
        </w:rPr>
        <w:t>Büdel B, Friedl T, Beyschlag W (eds) (2024) Biology of algae, lichens and bryophytes. Springer Spektrum, Berlin, Heidelberg</w:t>
      </w:r>
    </w:p>
    <w:p>
      <w:pPr>
        <w:pStyle w:val="Normal"/>
        <w:spacing w:before="0" w:after="200"/>
        <w:ind w:hanging="0" w:start="0" w:end="0"/>
        <w:rPr/>
      </w:pPr>
      <w:r>
        <w:rPr>
          <w:sz w:val="16"/>
          <w:szCs w:val="16"/>
          <w:lang w:val="en-US"/>
        </w:rPr>
        <w:t xml:space="preserve">Cai F, Li X, Yang Y, et al (2019) </w:t>
      </w:r>
      <w:r>
        <w:rPr>
          <w:i/>
          <w:sz w:val="16"/>
          <w:szCs w:val="16"/>
          <w:lang w:val="en-US"/>
        </w:rPr>
        <w:t>Compacto</w:t>
      </w:r>
      <w:r>
        <w:rPr>
          <w:i/>
          <w:sz w:val="16"/>
          <w:szCs w:val="16"/>
          <w:lang w:val="en-US"/>
        </w:rPr>
        <w:t>n</w:t>
      </w:r>
      <w:r>
        <w:rPr>
          <w:i/>
          <w:sz w:val="16"/>
          <w:szCs w:val="16"/>
          <w:lang w:val="en-US"/>
        </w:rPr>
        <w:t>ostoc</w:t>
      </w:r>
      <w:r>
        <w:rPr>
          <w:sz w:val="16"/>
          <w:szCs w:val="16"/>
          <w:lang w:val="en-US"/>
        </w:rPr>
        <w:t xml:space="preserve"> shennongjiaensis gen. &amp; sp. nov. (</w:t>
      </w:r>
      <w:r>
        <w:rPr>
          <w:i/>
          <w:sz w:val="16"/>
          <w:szCs w:val="16"/>
          <w:lang w:val="en-US"/>
        </w:rPr>
        <w:t>Nostoc</w:t>
      </w:r>
      <w:r>
        <w:rPr>
          <w:sz w:val="16"/>
          <w:szCs w:val="16"/>
          <w:lang w:val="en-US"/>
        </w:rPr>
        <w:t xml:space="preserve">ales, Cyanobacteria) from a wet rocky wall in China. Phycologia 58:200–210. </w:t>
      </w:r>
      <w:hyperlink r:id="rId33">
        <w:r>
          <w:rPr>
            <w:rStyle w:val="Hyperlink"/>
            <w:sz w:val="16"/>
            <w:szCs w:val="16"/>
            <w:lang w:val="en-US"/>
          </w:rPr>
          <w:t>https://doi.org/10.1080/00318884.2018.1541270</w:t>
        </w:r>
      </w:hyperlink>
    </w:p>
    <w:p>
      <w:pPr>
        <w:pStyle w:val="Normal"/>
        <w:spacing w:before="0" w:after="200"/>
        <w:ind w:hanging="0" w:start="0" w:end="0"/>
        <w:rPr/>
      </w:pPr>
      <w:r>
        <w:rPr>
          <w:sz w:val="16"/>
          <w:szCs w:val="16"/>
          <w:lang w:val="en-US"/>
        </w:rPr>
        <w:t xml:space="preserve">Camacho C, Coulouris G, Avagyan V, et al (2009) BLAST+: architecture and applications. BMC Bioinformatics 10:421. </w:t>
      </w:r>
      <w:hyperlink r:id="rId34">
        <w:r>
          <w:rPr>
            <w:rStyle w:val="Hyperlink"/>
            <w:sz w:val="16"/>
            <w:szCs w:val="16"/>
            <w:lang w:val="en-US"/>
          </w:rPr>
          <w:t>https://doi.org/10.1186/1471-2105-10-421</w:t>
        </w:r>
      </w:hyperlink>
      <w:r>
        <w:rPr>
          <w:sz w:val="16"/>
          <w:szCs w:val="16"/>
          <w:lang w:val="en-US"/>
        </w:rPr>
        <w:t xml:space="preserve"> </w:t>
      </w:r>
    </w:p>
    <w:p>
      <w:pPr>
        <w:pStyle w:val="Normal"/>
        <w:spacing w:before="0" w:after="200"/>
        <w:ind w:hanging="0" w:start="0" w:end="0"/>
        <w:rPr/>
      </w:pPr>
      <w:r>
        <w:rPr>
          <w:sz w:val="16"/>
          <w:szCs w:val="16"/>
          <w:lang w:val="en-US"/>
        </w:rPr>
        <w:t xml:space="preserve">Caro-Borrero A, Márquez-Santamaria K, Carmona-Jiménez J, et al (2024) Cyanobacterial Harmful Algal Mats (CyanoHAMs) in tropical rivers of central Mexico and their potential risks through toxin production. Environ Monit Assess 196:408. </w:t>
      </w:r>
      <w:hyperlink r:id="rId35">
        <w:r>
          <w:rPr>
            <w:rStyle w:val="ListLabel50"/>
            <w:sz w:val="16"/>
            <w:szCs w:val="16"/>
            <w:lang w:val="en-US"/>
          </w:rPr>
          <w:t>https://doi.org/10.1007/s10661-024-12568-4</w:t>
        </w:r>
      </w:hyperlink>
    </w:p>
    <w:p>
      <w:pPr>
        <w:pStyle w:val="Normal"/>
        <w:spacing w:before="0" w:after="200"/>
        <w:ind w:hanging="0" w:start="0" w:end="0"/>
        <w:rPr/>
      </w:pPr>
      <w:r>
        <w:rPr>
          <w:sz w:val="16"/>
          <w:szCs w:val="16"/>
          <w:lang w:val="en-US"/>
        </w:rPr>
        <w:t xml:space="preserve">Carrell AA, Veličković D, Lawrence TJ, et al (2022) Novel metabolic interactions and environmental conditions mediate the boreal peatmoss-cyanobacteria mutualism. ISME J 16:1074–1085. </w:t>
      </w:r>
      <w:hyperlink r:id="rId36">
        <w:r>
          <w:rPr>
            <w:rStyle w:val="ListLabel50"/>
            <w:sz w:val="16"/>
            <w:szCs w:val="16"/>
            <w:lang w:val="en-US"/>
          </w:rPr>
          <w:t>https://doi.org/10.1038/s41396-021-01136-0</w:t>
        </w:r>
      </w:hyperlink>
    </w:p>
    <w:p>
      <w:pPr>
        <w:pStyle w:val="Normal"/>
        <w:spacing w:before="0" w:after="200"/>
        <w:ind w:hanging="0" w:start="0" w:end="0"/>
        <w:rPr/>
      </w:pPr>
      <w:r>
        <w:rPr>
          <w:sz w:val="16"/>
          <w:szCs w:val="16"/>
          <w:lang w:val="en-US"/>
        </w:rPr>
        <w:t xml:space="preserve">Cusack DF, Silver W, McDowell WH (2009) Biological Nitrogen Fixation in Two Tropical Forests: Ecosystem-Level Patterns and Effects of Nitrogen Fertilization. Ecosystems 12:1299–1315. </w:t>
      </w:r>
      <w:hyperlink r:id="rId37">
        <w:r>
          <w:rPr>
            <w:rStyle w:val="ListLabel50"/>
            <w:sz w:val="16"/>
            <w:szCs w:val="16"/>
            <w:lang w:val="en-US"/>
          </w:rPr>
          <w:t>https://doi.org/10.1007/s10021-009-9290-0</w:t>
        </w:r>
      </w:hyperlink>
    </w:p>
    <w:p>
      <w:pPr>
        <w:pStyle w:val="Normal"/>
        <w:spacing w:before="0" w:after="200"/>
        <w:ind w:hanging="0" w:start="0" w:end="0"/>
        <w:rPr>
          <w:sz w:val="16"/>
          <w:szCs w:val="16"/>
          <w:lang w:val="en-US"/>
        </w:rPr>
      </w:pPr>
      <w:r>
        <w:rPr>
          <w:sz w:val="16"/>
          <w:szCs w:val="16"/>
          <w:lang w:val="en-US"/>
        </w:rPr>
        <w:t>Cuscó A, Catozzi C, Viñes J, et al (2019) Microbiota profiling with long amplicons using Nanopore sequencing: full-length 16S rRNA gene and the 16S-ITS-23S of the rrn operon</w:t>
      </w:r>
    </w:p>
    <w:p>
      <w:pPr>
        <w:pStyle w:val="Normal"/>
        <w:spacing w:before="0" w:after="200"/>
        <w:ind w:hanging="0" w:start="0" w:end="0"/>
        <w:rPr/>
      </w:pPr>
      <w:r>
        <w:rPr>
          <w:sz w:val="16"/>
          <w:szCs w:val="16"/>
          <w:lang w:val="en-US"/>
        </w:rPr>
        <w:t xml:space="preserve">DeLuca TH, Zackrisson O, Nilsson M-C, Sellstedt A (2002) Quantifying nitrogen-fixation in feather moss carpets of boreal forests. Nature 419:917–920. </w:t>
      </w:r>
      <w:hyperlink r:id="rId38">
        <w:r>
          <w:rPr>
            <w:rStyle w:val="ListLabel50"/>
            <w:sz w:val="16"/>
            <w:szCs w:val="16"/>
            <w:lang w:val="en-US"/>
          </w:rPr>
          <w:t>https://doi.org/10.1038/nature01051</w:t>
        </w:r>
      </w:hyperlink>
    </w:p>
    <w:p>
      <w:pPr>
        <w:pStyle w:val="Normal"/>
        <w:spacing w:before="0" w:after="200"/>
        <w:ind w:hanging="0" w:start="0" w:end="0"/>
        <w:rPr/>
      </w:pPr>
      <w:r>
        <w:rPr>
          <w:sz w:val="16"/>
          <w:szCs w:val="16"/>
          <w:lang w:val="en-US"/>
        </w:rPr>
        <w:t xml:space="preserve">Díez B, Bauer K, Bergman B (2007) Epilithic Cyanobacterial Communities of a Marine Tropical Beach Rock (Heron Island, Great Barrier Reef): Diversity and Diazotrophy. Applied and Environmental Microbiology 73:3656–3668. </w:t>
      </w:r>
      <w:hyperlink r:id="rId39">
        <w:r>
          <w:rPr>
            <w:rStyle w:val="ListLabel50"/>
            <w:sz w:val="16"/>
            <w:szCs w:val="16"/>
            <w:lang w:val="en-US"/>
          </w:rPr>
          <w:t>https://doi.org/10.1128/AEM.02067-06</w:t>
        </w:r>
      </w:hyperlink>
    </w:p>
    <w:p>
      <w:pPr>
        <w:pStyle w:val="Normal"/>
        <w:spacing w:before="0" w:after="200"/>
        <w:ind w:hanging="0" w:start="0" w:end="0"/>
        <w:rPr/>
      </w:pPr>
      <w:r>
        <w:rPr>
          <w:sz w:val="16"/>
          <w:szCs w:val="16"/>
          <w:lang w:val="en-US"/>
        </w:rPr>
        <w:t xml:space="preserve">Dodds WK, Gudder DA, Mollenhauer D (1995) The Ecology of </w:t>
      </w:r>
      <w:r>
        <w:rPr>
          <w:i/>
          <w:sz w:val="16"/>
          <w:szCs w:val="16"/>
          <w:lang w:val="en-US"/>
        </w:rPr>
        <w:t>Nostoc</w:t>
      </w:r>
      <w:r>
        <w:rPr>
          <w:sz w:val="16"/>
          <w:szCs w:val="16"/>
          <w:lang w:val="en-US"/>
        </w:rPr>
        <w:t xml:space="preserve">. Journal of Phycology 31:2–18. </w:t>
      </w:r>
      <w:hyperlink r:id="rId40">
        <w:r>
          <w:rPr>
            <w:rStyle w:val="ListLabel50"/>
            <w:sz w:val="16"/>
            <w:szCs w:val="16"/>
            <w:lang w:val="en-US"/>
          </w:rPr>
          <w:t>https://doi.org/10.1111/j.0022-3646.1995.00002.x</w:t>
        </w:r>
      </w:hyperlink>
    </w:p>
    <w:p>
      <w:pPr>
        <w:pStyle w:val="Normal"/>
        <w:spacing w:before="0" w:after="200"/>
        <w:ind w:hanging="0" w:start="0" w:end="0"/>
        <w:rPr/>
      </w:pPr>
      <w:r>
        <w:rPr>
          <w:sz w:val="16"/>
          <w:szCs w:val="16"/>
          <w:lang w:val="en-US"/>
        </w:rPr>
        <w:t xml:space="preserve">Donaldson L (2020) Autofluorescence in Plants. Molecules 25:2393. </w:t>
      </w:r>
      <w:hyperlink r:id="rId41">
        <w:r>
          <w:rPr>
            <w:rStyle w:val="ListLabel50"/>
            <w:sz w:val="16"/>
            <w:szCs w:val="16"/>
            <w:lang w:val="en-US"/>
          </w:rPr>
          <w:t>https://doi.org/10.3390/molecules25102393</w:t>
        </w:r>
      </w:hyperlink>
    </w:p>
    <w:p>
      <w:pPr>
        <w:pStyle w:val="Normal"/>
        <w:spacing w:before="0" w:after="200"/>
        <w:ind w:hanging="0" w:start="0" w:end="0"/>
        <w:rPr/>
      </w:pPr>
      <w:r>
        <w:rPr>
          <w:sz w:val="16"/>
          <w:szCs w:val="16"/>
          <w:lang w:val="en-US"/>
        </w:rPr>
        <w:t xml:space="preserve">Eddy SR (2011) Accelerated Profile HMM Searches. PLOS Computational Biology 7:e1002195. </w:t>
      </w:r>
      <w:hyperlink r:id="rId42">
        <w:r>
          <w:rPr>
            <w:rStyle w:val="ListLabel50"/>
            <w:sz w:val="16"/>
            <w:szCs w:val="16"/>
            <w:lang w:val="en-US"/>
          </w:rPr>
          <w:t>https://doi.org/10.1371/journal.pcbi.1002195</w:t>
        </w:r>
      </w:hyperlink>
    </w:p>
    <w:p>
      <w:pPr>
        <w:pStyle w:val="Normal"/>
        <w:spacing w:before="0" w:after="200"/>
        <w:ind w:hanging="0" w:start="0" w:end="0"/>
        <w:rPr/>
      </w:pPr>
      <w:r>
        <w:rPr>
          <w:sz w:val="16"/>
          <w:szCs w:val="16"/>
          <w:lang w:val="en-US"/>
        </w:rPr>
        <w:t xml:space="preserve">Edgar RC (2022) Muscle5: High-accuracy alignment ensembles enable unbiased assessments of sequence homology and phylogeny. Nat Commun 13:6968. </w:t>
      </w:r>
      <w:hyperlink r:id="rId43">
        <w:r>
          <w:rPr>
            <w:rStyle w:val="ListLabel50"/>
            <w:sz w:val="16"/>
            <w:szCs w:val="16"/>
            <w:lang w:val="en-US"/>
          </w:rPr>
          <w:t>https://doi.org/10.1038/s41467-022-34630-w</w:t>
        </w:r>
      </w:hyperlink>
    </w:p>
    <w:p>
      <w:pPr>
        <w:pStyle w:val="Normal"/>
        <w:spacing w:before="0" w:after="200"/>
        <w:ind w:hanging="0" w:start="0" w:end="0"/>
        <w:rPr>
          <w:sz w:val="16"/>
          <w:szCs w:val="16"/>
          <w:lang w:val="en-US"/>
        </w:rPr>
      </w:pPr>
      <w:r>
        <w:rPr>
          <w:sz w:val="16"/>
          <w:szCs w:val="16"/>
          <w:lang w:val="en-US"/>
        </w:rPr>
        <w:t>Ellenberg H (1988) Vegetation ecology of central Europe. Cambridge University Press</w:t>
      </w:r>
    </w:p>
    <w:p>
      <w:pPr>
        <w:pStyle w:val="Normal"/>
        <w:spacing w:before="0" w:after="200"/>
        <w:ind w:hanging="0" w:start="0" w:end="0"/>
        <w:rPr/>
      </w:pPr>
      <w:r>
        <w:rPr>
          <w:sz w:val="16"/>
          <w:szCs w:val="16"/>
          <w:lang w:val="en-US"/>
        </w:rPr>
        <w:t xml:space="preserve">Fan X, Yuan G, Liu W (2022) Response strategies of N-fixation by epiphytic bryophytes to water change in a subtropical montane cloud forest. Ecological Indicators 135:108527. </w:t>
      </w:r>
      <w:hyperlink r:id="rId44">
        <w:r>
          <w:rPr>
            <w:rStyle w:val="ListLabel50"/>
            <w:sz w:val="16"/>
            <w:szCs w:val="16"/>
            <w:lang w:val="en-US"/>
          </w:rPr>
          <w:t>https://doi.org/10.1016/j.ecolind.2021.108527</w:t>
        </w:r>
      </w:hyperlink>
    </w:p>
    <w:p>
      <w:pPr>
        <w:pStyle w:val="Normal"/>
        <w:spacing w:before="0" w:after="200"/>
        <w:ind w:hanging="0" w:start="0" w:end="0"/>
        <w:rPr/>
      </w:pPr>
      <w:r>
        <w:rPr>
          <w:sz w:val="16"/>
          <w:szCs w:val="16"/>
          <w:lang w:val="en-US"/>
        </w:rPr>
        <w:t xml:space="preserve">Fernández-Martínez MA, de los Ríos A, Sancho LG, Pérez-Ortega S (2013) Diversity of Endosymbiotic </w:t>
      </w:r>
      <w:r>
        <w:rPr>
          <w:i/>
          <w:sz w:val="16"/>
          <w:szCs w:val="16"/>
          <w:lang w:val="en-US"/>
        </w:rPr>
        <w:t>Nostoc</w:t>
      </w:r>
      <w:r>
        <w:rPr>
          <w:sz w:val="16"/>
          <w:szCs w:val="16"/>
          <w:lang w:val="en-US"/>
        </w:rPr>
        <w:t xml:space="preserve"> in Gunnera magellanica (L) from Tierra del Fuego, Chile. Microb Ecol 66:335–350. </w:t>
      </w:r>
      <w:hyperlink r:id="rId45">
        <w:r>
          <w:rPr>
            <w:rStyle w:val="ListLabel50"/>
            <w:sz w:val="16"/>
            <w:szCs w:val="16"/>
            <w:lang w:val="en-US"/>
          </w:rPr>
          <w:t>https://doi.org/10.1007/s00248-013-0223-2</w:t>
        </w:r>
      </w:hyperlink>
    </w:p>
    <w:p>
      <w:pPr>
        <w:pStyle w:val="Normal"/>
        <w:spacing w:before="0" w:after="200"/>
        <w:ind w:hanging="0" w:start="0" w:end="0"/>
        <w:rPr/>
      </w:pPr>
      <w:r>
        <w:rPr>
          <w:sz w:val="16"/>
          <w:szCs w:val="16"/>
          <w:lang w:val="en-US"/>
        </w:rPr>
        <w:t xml:space="preserve">Fialová L, Plášek V, Klichowska E, et al (2023) Temperature and Precipitation More Than Tree Cover Affect the Distribution Patterns of Epiphytic Mosses within the Orthotrichaceae Family in China and Adjacent Areas. Plants 12:222. </w:t>
      </w:r>
      <w:hyperlink r:id="rId46">
        <w:r>
          <w:rPr>
            <w:rStyle w:val="ListLabel50"/>
            <w:sz w:val="16"/>
            <w:szCs w:val="16"/>
            <w:lang w:val="en-US"/>
          </w:rPr>
          <w:t>https://doi.org/10.3390/plants12010222</w:t>
        </w:r>
      </w:hyperlink>
    </w:p>
    <w:p>
      <w:pPr>
        <w:pStyle w:val="Normal"/>
        <w:spacing w:before="0" w:after="200"/>
        <w:ind w:hanging="0" w:start="0" w:end="0"/>
        <w:rPr/>
      </w:pPr>
      <w:r>
        <w:rPr>
          <w:sz w:val="16"/>
          <w:szCs w:val="16"/>
          <w:lang w:val="en-US"/>
        </w:rPr>
        <w:t xml:space="preserve">Fitzpatrick CR, Lu-Irving P, Copeland J, et al (2018) Chloroplast sequence variation and the efficacy of peptide nucleic acids for blocking host amplification in plant microbiome studies. Microbiome 6:144. </w:t>
      </w:r>
      <w:hyperlink r:id="rId47">
        <w:r>
          <w:rPr>
            <w:rStyle w:val="Hyperlink"/>
            <w:sz w:val="16"/>
            <w:szCs w:val="16"/>
            <w:lang w:val="en-US"/>
          </w:rPr>
          <w:t>https://doi.org/10.1186/s40168-018-0534-0</w:t>
        </w:r>
      </w:hyperlink>
    </w:p>
    <w:p>
      <w:pPr>
        <w:pStyle w:val="Normal"/>
        <w:spacing w:before="0" w:after="200"/>
        <w:ind w:hanging="0" w:start="0" w:end="0"/>
        <w:rPr>
          <w:sz w:val="16"/>
          <w:szCs w:val="16"/>
          <w:lang w:val="en-US"/>
        </w:rPr>
      </w:pPr>
      <w:r>
        <w:rPr>
          <w:sz w:val="16"/>
          <w:szCs w:val="16"/>
          <w:lang w:val="en-US"/>
        </w:rPr>
        <w:t>Frahm J-P, Frey W (2004) Moosflora, 4th edn. E. Ulmer</w:t>
      </w:r>
    </w:p>
    <w:p>
      <w:pPr>
        <w:pStyle w:val="Normal"/>
        <w:spacing w:before="0" w:after="202"/>
        <w:rPr/>
      </w:pPr>
      <w:r>
        <w:rPr>
          <w:rFonts w:eastAsia="Arial" w:cs="Arial"/>
          <w:sz w:val="16"/>
          <w:szCs w:val="16"/>
          <w:lang w:val="en-US"/>
        </w:rPr>
        <w:t xml:space="preserve">Frey W, Frahm JP, Fischer E, Wolfram L (2021) </w:t>
      </w:r>
      <w:r>
        <w:rPr>
          <w:rFonts w:eastAsia="Arial" w:cs="Arial"/>
          <w:i/>
          <w:iCs/>
          <w:sz w:val="16"/>
          <w:szCs w:val="16"/>
          <w:lang w:val="en-US"/>
        </w:rPr>
        <w:t>The liverworts, mosses and ferns of Europe</w:t>
      </w:r>
      <w:r>
        <w:rPr>
          <w:rFonts w:eastAsia="Arial" w:cs="Arial"/>
          <w:sz w:val="16"/>
          <w:szCs w:val="16"/>
          <w:lang w:val="en-US"/>
        </w:rPr>
        <w:t xml:space="preserve">. Brill. </w:t>
      </w:r>
    </w:p>
    <w:p>
      <w:pPr>
        <w:pStyle w:val="Normal"/>
        <w:spacing w:before="0" w:after="200"/>
        <w:ind w:hanging="0" w:start="0" w:end="0"/>
        <w:rPr/>
      </w:pPr>
      <w:r>
        <w:rPr>
          <w:sz w:val="16"/>
          <w:szCs w:val="16"/>
          <w:lang w:val="en-US"/>
        </w:rPr>
        <w:t xml:space="preserve">Gentili F, Nilsson M-C, Zackrisson O, et al (2005) Physiological and molecular diversity of feather moss associative N2-fixing cyanobacteria. Journal of Experimental Botany 56:3121–3127. </w:t>
      </w:r>
      <w:hyperlink r:id="rId48">
        <w:r>
          <w:rPr>
            <w:rStyle w:val="ListLabel50"/>
            <w:sz w:val="16"/>
            <w:szCs w:val="16"/>
            <w:lang w:val="en-US"/>
          </w:rPr>
          <w:t>https://doi.org/10.1093/jxb/eri309</w:t>
        </w:r>
      </w:hyperlink>
    </w:p>
    <w:p>
      <w:pPr>
        <w:pStyle w:val="Normal"/>
        <w:spacing w:before="0" w:after="200"/>
        <w:ind w:hanging="0" w:start="0" w:end="0"/>
        <w:rPr>
          <w:sz w:val="16"/>
          <w:szCs w:val="16"/>
          <w:lang w:val="en-US"/>
        </w:rPr>
      </w:pPr>
      <w:r>
        <w:rPr>
          <w:sz w:val="16"/>
          <w:szCs w:val="16"/>
          <w:lang w:val="en-US"/>
        </w:rPr>
        <w:t>Grigoryeva NY (2020) Studying Cyanobacteria by Means of Fluorescence Methods: A Review. IntechOpen</w:t>
      </w:r>
    </w:p>
    <w:p>
      <w:pPr>
        <w:pStyle w:val="Normal"/>
        <w:spacing w:before="0" w:after="200"/>
        <w:ind w:hanging="0" w:start="0" w:end="0"/>
        <w:rPr/>
      </w:pPr>
      <w:r>
        <w:rPr>
          <w:sz w:val="16"/>
          <w:szCs w:val="16"/>
          <w:lang w:val="en-US"/>
        </w:rPr>
        <w:t xml:space="preserve">Groß C, Hossen S, Dittrich S, et al (2024) Biological nitrogen fixation, diversity and community structure of diazotrophs in two mosses in 25 temperate forests. Environmental Microbiology 26:e16555. </w:t>
      </w:r>
      <w:hyperlink r:id="rId49">
        <w:r>
          <w:rPr>
            <w:rStyle w:val="ListLabel50"/>
            <w:sz w:val="16"/>
            <w:szCs w:val="16"/>
            <w:lang w:val="en-US"/>
          </w:rPr>
          <w:t>https://doi.org/10.1111/1462-2920.16555</w:t>
        </w:r>
      </w:hyperlink>
    </w:p>
    <w:p>
      <w:pPr>
        <w:pStyle w:val="Normal"/>
        <w:spacing w:before="0" w:after="200"/>
        <w:ind w:hanging="0" w:start="0" w:end="0"/>
        <w:rPr/>
      </w:pPr>
      <w:r>
        <w:rPr>
          <w:sz w:val="16"/>
          <w:szCs w:val="16"/>
          <w:lang w:val="en-US"/>
        </w:rPr>
        <w:t>Hrouzek P, Lukešová A, Mareš J, Ventura S (2013) Description of the cyanobacterial genus Desmo</w:t>
      </w:r>
      <w:r>
        <w:rPr>
          <w:sz w:val="16"/>
          <w:szCs w:val="16"/>
          <w:lang w:val="en-US"/>
        </w:rPr>
        <w:t>n</w:t>
      </w:r>
      <w:r>
        <w:rPr>
          <w:i/>
          <w:sz w:val="16"/>
          <w:szCs w:val="16"/>
          <w:lang w:val="en-US"/>
        </w:rPr>
        <w:t>ostoc</w:t>
      </w:r>
      <w:r>
        <w:rPr>
          <w:sz w:val="16"/>
          <w:szCs w:val="16"/>
          <w:lang w:val="en-US"/>
        </w:rPr>
        <w:t xml:space="preserve"> gen. nov. including D. muscorum comb. nov. as a distinct, phylogenetically coherent taxon related to the genus </w:t>
      </w:r>
      <w:r>
        <w:rPr>
          <w:i/>
          <w:sz w:val="16"/>
          <w:szCs w:val="16"/>
          <w:lang w:val="en-US"/>
        </w:rPr>
        <w:t>Nostoc</w:t>
      </w:r>
      <w:r>
        <w:rPr>
          <w:sz w:val="16"/>
          <w:szCs w:val="16"/>
          <w:lang w:val="en-US"/>
        </w:rPr>
        <w:t xml:space="preserve">. Fottea 13:201–213. </w:t>
      </w:r>
      <w:hyperlink r:id="rId50">
        <w:r>
          <w:rPr>
            <w:rStyle w:val="ListLabel50"/>
            <w:sz w:val="16"/>
            <w:szCs w:val="16"/>
            <w:lang w:val="en-US"/>
          </w:rPr>
          <w:t>https://doi.org/10.5507/fot.2013.016</w:t>
        </w:r>
      </w:hyperlink>
    </w:p>
    <w:p>
      <w:pPr>
        <w:pStyle w:val="Normal"/>
        <w:spacing w:before="0" w:after="200"/>
        <w:ind w:hanging="0" w:start="0" w:end="0"/>
        <w:rPr/>
      </w:pPr>
      <w:r>
        <w:rPr>
          <w:sz w:val="16"/>
          <w:szCs w:val="16"/>
          <w:lang w:val="en-US"/>
        </w:rPr>
        <w:t xml:space="preserve">Hu W, Wang X, Xu Y, et al (2024) Biological nitrogen fixation and the role of soil diazotroph niche breadth in representative terrestrial ecosystems. Soil Biology and Biochemistry 189:109261. </w:t>
      </w:r>
      <w:hyperlink r:id="rId51">
        <w:r>
          <w:rPr>
            <w:rStyle w:val="ListLabel50"/>
            <w:sz w:val="16"/>
            <w:szCs w:val="16"/>
            <w:lang w:val="en-US"/>
          </w:rPr>
          <w:t>https://doi.org/10.1016/j.soilbio.2023.109261</w:t>
        </w:r>
      </w:hyperlink>
    </w:p>
    <w:p>
      <w:pPr>
        <w:pStyle w:val="Normal"/>
        <w:spacing w:before="0" w:after="200"/>
        <w:ind w:hanging="0" w:start="0" w:end="0"/>
        <w:rPr/>
      </w:pPr>
      <w:r>
        <w:rPr>
          <w:sz w:val="16"/>
          <w:szCs w:val="16"/>
          <w:lang w:val="en-US"/>
        </w:rPr>
        <w:t xml:space="preserve">Ininbergs K, Bay G, Rasmussen U, et al (2011) Composition and diversity of </w:t>
      </w:r>
      <w:r>
        <w:rPr>
          <w:i/>
          <w:sz w:val="16"/>
          <w:szCs w:val="16"/>
          <w:lang w:val="en-US"/>
        </w:rPr>
        <w:t>nifH</w:t>
      </w:r>
      <w:r>
        <w:rPr>
          <w:sz w:val="16"/>
          <w:szCs w:val="16"/>
          <w:lang w:val="en-US"/>
        </w:rPr>
        <w:t xml:space="preserve"> genes of nitrogen-fixing cyanobacteria associated with boreal forest feather mosses. New Phytologist 192:507–517. </w:t>
      </w:r>
      <w:hyperlink r:id="rId52">
        <w:r>
          <w:rPr>
            <w:rStyle w:val="ListLabel50"/>
            <w:sz w:val="16"/>
            <w:szCs w:val="16"/>
            <w:lang w:val="en-US"/>
          </w:rPr>
          <w:t>https://doi.org/10.1111/j.1469-8137.2011.03809.x</w:t>
        </w:r>
      </w:hyperlink>
    </w:p>
    <w:p>
      <w:pPr>
        <w:pStyle w:val="Normal"/>
        <w:spacing w:before="0" w:after="200"/>
        <w:ind w:hanging="0" w:start="0" w:end="0"/>
        <w:rPr/>
      </w:pPr>
      <w:r>
        <w:rPr>
          <w:sz w:val="16"/>
          <w:szCs w:val="16"/>
          <w:lang w:val="en-US"/>
        </w:rPr>
        <w:t xml:space="preserve">Klindworth A, Pruesse E, Schweer T, et al (2013) Evaluation of general 16S ribosomal RNA gene PCR primers for classical and next-generation sequencing-based diversity studies. Nucleic Acids Res 41:e1. </w:t>
      </w:r>
      <w:hyperlink r:id="rId53">
        <w:r>
          <w:rPr>
            <w:rStyle w:val="ListLabel50"/>
            <w:sz w:val="16"/>
            <w:szCs w:val="16"/>
            <w:lang w:val="en-US"/>
          </w:rPr>
          <w:t>https://doi.org/10.1093/nar/gks808</w:t>
        </w:r>
      </w:hyperlink>
    </w:p>
    <w:p>
      <w:pPr>
        <w:pStyle w:val="Normal"/>
        <w:spacing w:before="0" w:after="200"/>
        <w:ind w:hanging="0" w:start="0" w:end="0"/>
        <w:rPr/>
      </w:pPr>
      <w:r>
        <w:rPr>
          <w:sz w:val="16"/>
          <w:szCs w:val="16"/>
          <w:lang w:val="en-US"/>
        </w:rPr>
        <w:t xml:space="preserve">Koirala A, Brözel VS (2021) Phylogeny of Nitrogenase Structural and Assembly Components Reveals New Insights into the Origin and Distribution of Nitrogen Fixation across Bacteria and Archaea. Microorganisms 9:1662. </w:t>
      </w:r>
      <w:hyperlink r:id="rId54">
        <w:r>
          <w:rPr>
            <w:rStyle w:val="ListLabel50"/>
            <w:sz w:val="16"/>
            <w:szCs w:val="16"/>
            <w:lang w:val="en-US"/>
          </w:rPr>
          <w:t>https://doi.org/10.3390/microorganisms9081662</w:t>
        </w:r>
      </w:hyperlink>
    </w:p>
    <w:p>
      <w:pPr>
        <w:pStyle w:val="Normal"/>
        <w:spacing w:before="0" w:after="200"/>
        <w:ind w:hanging="0" w:start="0" w:end="0"/>
        <w:rPr/>
      </w:pPr>
      <w:r>
        <w:rPr>
          <w:sz w:val="16"/>
          <w:szCs w:val="16"/>
          <w:lang w:val="en-US"/>
        </w:rPr>
        <w:t xml:space="preserve">Kubota M, Matsushita N, Nakamura T, Fukuda K (2023) Nitrogen fixation and </w:t>
      </w:r>
      <w:r>
        <w:rPr>
          <w:i/>
          <w:sz w:val="16"/>
          <w:szCs w:val="16"/>
          <w:lang w:val="en-US"/>
        </w:rPr>
        <w:t>nifH</w:t>
      </w:r>
      <w:r>
        <w:rPr>
          <w:sz w:val="16"/>
          <w:szCs w:val="16"/>
          <w:lang w:val="en-US"/>
        </w:rPr>
        <w:t xml:space="preserve"> gene diversity in cyanobacteria living on feather mosses in a subalpine forest of Mt. Fuji. Oecologia 201:749–760. </w:t>
      </w:r>
      <w:hyperlink r:id="rId55">
        <w:r>
          <w:rPr>
            <w:rStyle w:val="ListLabel50"/>
            <w:sz w:val="16"/>
            <w:szCs w:val="16"/>
            <w:lang w:val="en-US"/>
          </w:rPr>
          <w:t>https://doi.org/10.1007/s00442-023-05334-9</w:t>
        </w:r>
      </w:hyperlink>
    </w:p>
    <w:p>
      <w:pPr>
        <w:pStyle w:val="Normal"/>
        <w:spacing w:before="0" w:after="200"/>
        <w:ind w:hanging="0" w:start="0" w:end="0"/>
        <w:rPr/>
      </w:pPr>
      <w:r>
        <w:rPr>
          <w:sz w:val="16"/>
          <w:szCs w:val="16"/>
          <w:lang w:val="en-US"/>
        </w:rPr>
        <w:t xml:space="preserve">Lefler FW, Berthold DE, Laughinghouse IV HD (2023) Cyanoseq: A database of cyanobacterial 16S rRNA gene sequences with curated taxonomy. Journal of Phycology 59:470–480. </w:t>
      </w:r>
      <w:hyperlink r:id="rId56">
        <w:r>
          <w:rPr>
            <w:rStyle w:val="ListLabel50"/>
            <w:sz w:val="16"/>
            <w:szCs w:val="16"/>
            <w:lang w:val="en-US"/>
          </w:rPr>
          <w:t>https://doi.org/10.1111/jpy.13335</w:t>
        </w:r>
      </w:hyperlink>
    </w:p>
    <w:p>
      <w:pPr>
        <w:pStyle w:val="Normal"/>
        <w:spacing w:before="0" w:after="200"/>
        <w:ind w:hanging="0" w:start="0" w:end="0"/>
        <w:rPr/>
      </w:pPr>
      <w:r>
        <w:rPr>
          <w:sz w:val="16"/>
          <w:szCs w:val="16"/>
          <w:lang w:val="en-US"/>
        </w:rPr>
        <w:t xml:space="preserve">Li X, Bai W, Yang Q, et al (2024) The extremotolerant desert moss Syntrichia caninervis is a promising pioneer plant for colonizing extraterrestrial environments. Innovation 5:. </w:t>
      </w:r>
      <w:hyperlink r:id="rId57">
        <w:r>
          <w:rPr>
            <w:rStyle w:val="ListLabel50"/>
            <w:sz w:val="16"/>
            <w:szCs w:val="16"/>
            <w:lang w:val="en-US"/>
          </w:rPr>
          <w:t>https://doi.org/10.1016/j.xinn.2024.100657</w:t>
        </w:r>
      </w:hyperlink>
    </w:p>
    <w:p>
      <w:pPr>
        <w:pStyle w:val="Normal"/>
        <w:spacing w:before="0" w:after="200"/>
        <w:ind w:hanging="0" w:start="0" w:end="0"/>
        <w:rPr/>
      </w:pPr>
      <w:r>
        <w:rPr>
          <w:sz w:val="16"/>
          <w:szCs w:val="16"/>
          <w:lang w:val="en-US"/>
        </w:rPr>
        <w:t xml:space="preserve">Lindo Z, Nilsson M-C, Gundale MJ (2013) Bryophyte-cyanobacteria associations as regulators of the northern latitude carbon balance in response to global change. Global Change Biology 19:2022–2035. </w:t>
      </w:r>
      <w:hyperlink r:id="rId58">
        <w:r>
          <w:rPr>
            <w:rStyle w:val="ListLabel50"/>
            <w:sz w:val="16"/>
            <w:szCs w:val="16"/>
            <w:lang w:val="en-US"/>
          </w:rPr>
          <w:t>https://doi.org/10.1111/gcb.12175</w:t>
        </w:r>
      </w:hyperlink>
    </w:p>
    <w:p>
      <w:pPr>
        <w:pStyle w:val="Normal"/>
        <w:spacing w:before="0" w:after="200"/>
        <w:ind w:hanging="0" w:start="0" w:end="0"/>
        <w:rPr/>
      </w:pPr>
      <w:r>
        <w:rPr>
          <w:sz w:val="16"/>
          <w:szCs w:val="16"/>
          <w:lang w:val="en-US"/>
        </w:rPr>
        <w:t xml:space="preserve">Lindo Z, Whiteley JA (2011) Old trees contribute bio-available nitrogen through canopy bryophytes. Plant Soil 342:141–148. </w:t>
      </w:r>
      <w:hyperlink r:id="rId59">
        <w:r>
          <w:rPr>
            <w:rStyle w:val="ListLabel50"/>
            <w:sz w:val="16"/>
            <w:szCs w:val="16"/>
            <w:lang w:val="en-US"/>
          </w:rPr>
          <w:t>https://doi.org/10.1007/s11104-010-0678-6</w:t>
        </w:r>
      </w:hyperlink>
    </w:p>
    <w:p>
      <w:pPr>
        <w:pStyle w:val="Normal"/>
        <w:spacing w:before="0" w:after="200"/>
        <w:ind w:hanging="0" w:start="0" w:end="0"/>
        <w:rPr/>
      </w:pPr>
      <w:r>
        <w:rPr>
          <w:sz w:val="16"/>
          <w:szCs w:val="16"/>
          <w:lang w:val="en-US"/>
        </w:rPr>
        <w:t xml:space="preserve">Ludwig W, Strunk O, Westram R, et al (2004) ARB: a software environment for sequence data. Nucleic Acids Res 32:1363–1371. </w:t>
      </w:r>
      <w:hyperlink r:id="rId60">
        <w:r>
          <w:rPr>
            <w:rStyle w:val="ListLabel50"/>
            <w:sz w:val="16"/>
            <w:szCs w:val="16"/>
            <w:lang w:val="en-US"/>
          </w:rPr>
          <w:t>https://doi.org/10.1093/nar/gkh293</w:t>
        </w:r>
      </w:hyperlink>
    </w:p>
    <w:p>
      <w:pPr>
        <w:pStyle w:val="Normal"/>
        <w:spacing w:before="0" w:after="0"/>
        <w:rPr/>
      </w:pPr>
      <w:r>
        <w:rPr>
          <w:rFonts w:eastAsia="Arial" w:cs="Arial"/>
          <w:sz w:val="16"/>
          <w:szCs w:val="16"/>
          <w:lang w:val="de-DE"/>
        </w:rPr>
        <w:t xml:space="preserve">Lüth M (2011) Bildatlas der Moose Deutschlands. </w:t>
      </w:r>
      <w:r>
        <w:rPr>
          <w:rFonts w:eastAsia="Arial" w:cs="Arial"/>
          <w:i w:val="false"/>
          <w:iCs w:val="false"/>
          <w:sz w:val="16"/>
          <w:szCs w:val="16"/>
          <w:lang w:val="de-DE"/>
        </w:rPr>
        <w:t>Eigenverlag M. Lüth, Freiburg i. Br. Fasz</w:t>
      </w:r>
      <w:r>
        <w:rPr>
          <w:rFonts w:eastAsia="Arial" w:cs="Arial"/>
          <w:sz w:val="16"/>
          <w:szCs w:val="16"/>
          <w:lang w:val="de-DE"/>
        </w:rPr>
        <w:t xml:space="preserve"> (2004): 1-7.</w:t>
      </w:r>
    </w:p>
    <w:p>
      <w:pPr>
        <w:pStyle w:val="Normal"/>
        <w:spacing w:before="0" w:after="0"/>
        <w:rPr>
          <w:rFonts w:ascii="Arial" w:hAnsi="Arial" w:eastAsia="Arial" w:cs="Arial"/>
          <w:sz w:val="16"/>
          <w:szCs w:val="16"/>
          <w:lang w:val="de-DE"/>
        </w:rPr>
      </w:pPr>
      <w:r>
        <w:rPr/>
      </w:r>
    </w:p>
    <w:p>
      <w:pPr>
        <w:pStyle w:val="Normal"/>
        <w:spacing w:before="0" w:after="200"/>
        <w:ind w:hanging="0" w:start="0" w:end="0"/>
        <w:rPr/>
      </w:pPr>
      <w:r>
        <w:rPr>
          <w:sz w:val="16"/>
          <w:szCs w:val="16"/>
          <w:lang w:val="en-US"/>
        </w:rPr>
        <w:t xml:space="preserve">Maeng C, Hiwatashi Y, Nakamura K, et al (2025) Extreme environmental tolerance and space survivability of the moss, Physcomitrium patens. iScience 0: </w:t>
      </w:r>
      <w:hyperlink r:id="rId61">
        <w:r>
          <w:rPr>
            <w:rStyle w:val="ListLabel50"/>
            <w:sz w:val="16"/>
            <w:szCs w:val="16"/>
            <w:lang w:val="en-US"/>
          </w:rPr>
          <w:t>https://doi.org/10.1016/j.isci.2025.113827</w:t>
        </w:r>
      </w:hyperlink>
    </w:p>
    <w:p>
      <w:pPr>
        <w:pStyle w:val="Normal"/>
        <w:spacing w:before="0" w:after="200"/>
        <w:ind w:hanging="0" w:start="0" w:end="0"/>
        <w:rPr>
          <w:sz w:val="16"/>
          <w:szCs w:val="16"/>
          <w:lang w:val="en-US"/>
        </w:rPr>
      </w:pPr>
      <w:r>
        <w:rPr>
          <w:sz w:val="16"/>
          <w:szCs w:val="16"/>
          <w:lang w:val="en-US"/>
        </w:rPr>
        <w:t>Meeks JC (1990) Cyanobacterial-bryophyte associations. In: Rai AN (ed) CRC handbook of symbiotic cyanobacteria, 1st Edition. CRC Press, Boca Raton, pp 43–63</w:t>
      </w:r>
    </w:p>
    <w:p>
      <w:pPr>
        <w:pStyle w:val="Normal"/>
        <w:spacing w:before="0" w:after="200"/>
        <w:ind w:hanging="0" w:start="0" w:end="0"/>
        <w:rPr>
          <w:sz w:val="16"/>
          <w:szCs w:val="16"/>
          <w:lang w:val="en-US"/>
        </w:rPr>
      </w:pPr>
      <w:r>
        <w:rPr>
          <w:sz w:val="16"/>
          <w:szCs w:val="16"/>
          <w:lang w:val="en-US"/>
        </w:rPr>
        <w:t>Meinunger L, Schröder W, Dürhammer O (2007) Verbreitungsatlas der moose Deutschlands. Regensburgische Botanische Gesellschaft von 1790 e. V.</w:t>
      </w:r>
    </w:p>
    <w:p>
      <w:pPr>
        <w:pStyle w:val="Normal"/>
        <w:spacing w:before="0" w:after="200"/>
        <w:ind w:hanging="0" w:start="0" w:end="0"/>
        <w:rPr/>
      </w:pPr>
      <w:r>
        <w:rPr>
          <w:sz w:val="16"/>
          <w:szCs w:val="16"/>
          <w:lang w:val="en-US"/>
        </w:rPr>
        <w:t xml:space="preserve">Miura S, Yokota A (2006) Isolation and characterization of cyanobacteria from lichen. J Gen Appl Microbiol 52:365–374. </w:t>
      </w:r>
      <w:hyperlink r:id="rId62">
        <w:r>
          <w:rPr>
            <w:rStyle w:val="ListLabel50"/>
            <w:sz w:val="16"/>
            <w:szCs w:val="16"/>
            <w:lang w:val="en-US"/>
          </w:rPr>
          <w:t>https://doi.org/10.2323/jgam.52.365</w:t>
        </w:r>
      </w:hyperlink>
    </w:p>
    <w:p>
      <w:pPr>
        <w:pStyle w:val="Normal"/>
        <w:spacing w:before="0" w:after="200"/>
        <w:ind w:hanging="0" w:start="0" w:end="0"/>
        <w:rPr/>
      </w:pPr>
      <w:r>
        <w:rPr>
          <w:sz w:val="16"/>
          <w:szCs w:val="16"/>
          <w:lang w:val="en-US"/>
        </w:rPr>
        <w:t xml:space="preserve">Mollenhauer D (1986) Blaualgen der Gattung </w:t>
      </w:r>
      <w:r>
        <w:rPr>
          <w:i/>
          <w:sz w:val="16"/>
          <w:szCs w:val="16"/>
          <w:lang w:val="en-US"/>
        </w:rPr>
        <w:t>Nostoc</w:t>
      </w:r>
      <w:r>
        <w:rPr>
          <w:sz w:val="16"/>
          <w:szCs w:val="16"/>
          <w:lang w:val="en-US"/>
        </w:rPr>
        <w:t>–ihre Rolle in forschung und wissenschaftsgeschichte IV. Natur und Museum 116:43–59</w:t>
      </w:r>
    </w:p>
    <w:p>
      <w:pPr>
        <w:pStyle w:val="Normal"/>
        <w:spacing w:before="0" w:after="200"/>
        <w:ind w:hanging="0" w:start="0" w:end="0"/>
        <w:rPr>
          <w:sz w:val="16"/>
          <w:szCs w:val="16"/>
          <w:lang w:val="en-US"/>
        </w:rPr>
      </w:pPr>
      <w:r>
        <w:rPr>
          <w:sz w:val="16"/>
          <w:szCs w:val="16"/>
          <w:lang w:val="en-US"/>
        </w:rPr>
        <w:t>Nawrocki EP (2009) Structural RNA homology search and alignment using covariance models. Washington University in St. Louis</w:t>
      </w:r>
    </w:p>
    <w:p>
      <w:pPr>
        <w:pStyle w:val="Normal"/>
        <w:spacing w:before="0" w:after="200"/>
        <w:ind w:hanging="0" w:start="0" w:end="0"/>
        <w:rPr/>
      </w:pPr>
      <w:r>
        <w:rPr>
          <w:sz w:val="16"/>
          <w:szCs w:val="16"/>
          <w:lang w:val="en-US"/>
        </w:rPr>
        <w:t xml:space="preserve">Olson JB, Steppe TF, Litaker RW, Paerl HW (1998) N2-Fixing Microbial Consortia Associated with the Ice Cover of Lake Bonney, Antarctica. Microb Ecol 36:231–238. </w:t>
      </w:r>
      <w:hyperlink r:id="rId63">
        <w:r>
          <w:rPr>
            <w:rStyle w:val="ListLabel50"/>
            <w:sz w:val="16"/>
            <w:szCs w:val="16"/>
            <w:lang w:val="en-US"/>
          </w:rPr>
          <w:t>https://doi.org/10.1007/s002489900110</w:t>
        </w:r>
      </w:hyperlink>
    </w:p>
    <w:p>
      <w:pPr>
        <w:pStyle w:val="Normal"/>
        <w:spacing w:before="0" w:after="200"/>
        <w:ind w:hanging="0" w:start="0" w:end="0"/>
        <w:rPr/>
      </w:pPr>
      <w:r>
        <w:rPr>
          <w:sz w:val="16"/>
          <w:szCs w:val="16"/>
          <w:lang w:val="en-US"/>
        </w:rPr>
        <w:t xml:space="preserve">Olsson S, Kaasalainen U, Rikkinen J (2012) Reconstruction of structural evolution in the trnL intron P6b loop of symbiotic </w:t>
      </w:r>
      <w:r>
        <w:rPr>
          <w:i/>
          <w:sz w:val="16"/>
          <w:szCs w:val="16"/>
          <w:lang w:val="en-US"/>
        </w:rPr>
        <w:t>Nostoc</w:t>
      </w:r>
      <w:r>
        <w:rPr>
          <w:sz w:val="16"/>
          <w:szCs w:val="16"/>
          <w:lang w:val="en-US"/>
        </w:rPr>
        <w:t xml:space="preserve"> (Cyanobacteria). Curr Genet 58:49–58. </w:t>
      </w:r>
      <w:hyperlink r:id="rId64">
        <w:r>
          <w:rPr>
            <w:rStyle w:val="ListLabel50"/>
            <w:sz w:val="16"/>
            <w:szCs w:val="16"/>
            <w:lang w:val="en-US"/>
          </w:rPr>
          <w:t>https://doi.org/10.1007/s00294-011-0364-0</w:t>
        </w:r>
      </w:hyperlink>
    </w:p>
    <w:p>
      <w:pPr>
        <w:pStyle w:val="Normal"/>
        <w:spacing w:before="0" w:after="200"/>
        <w:ind w:hanging="0" w:start="0" w:end="0"/>
        <w:rPr/>
      </w:pPr>
      <w:r>
        <w:rPr>
          <w:sz w:val="16"/>
          <w:szCs w:val="16"/>
          <w:lang w:val="en-US"/>
        </w:rPr>
        <w:t xml:space="preserve">Permin A, Horwath AB, Metcalfe DB, et al (2022) High nitrogen-fixing rates associated with ground-covering mosses in a tropical mountain cloud forest will decrease drastically in a future climate. Functional Ecology 36:1772–1781. </w:t>
      </w:r>
      <w:hyperlink r:id="rId65">
        <w:r>
          <w:rPr>
            <w:rStyle w:val="ListLabel50"/>
            <w:sz w:val="16"/>
            <w:szCs w:val="16"/>
            <w:lang w:val="en-US"/>
          </w:rPr>
          <w:t>https://doi.org/10.1111/1365-2435.14088</w:t>
        </w:r>
      </w:hyperlink>
    </w:p>
    <w:p>
      <w:pPr>
        <w:pStyle w:val="Normal"/>
        <w:spacing w:before="0" w:after="200"/>
        <w:ind w:hanging="0" w:start="0" w:end="0"/>
        <w:rPr/>
      </w:pPr>
      <w:r>
        <w:rPr>
          <w:sz w:val="16"/>
          <w:szCs w:val="16"/>
          <w:lang w:val="en-US"/>
        </w:rPr>
        <w:t xml:space="preserve">Poniedziałek B, Falfushynska HI, Rzymski P (2017) Flow Cytometry as a Valuable Tool to Study Cyanobacteria: A Mini-Review. Limnological Review 17:89–95. </w:t>
      </w:r>
      <w:hyperlink r:id="rId66">
        <w:r>
          <w:rPr>
            <w:rStyle w:val="ListLabel50"/>
            <w:sz w:val="16"/>
            <w:szCs w:val="16"/>
            <w:lang w:val="en-US"/>
          </w:rPr>
          <w:t>https://doi.org/10.1515/limre-2017-0009</w:t>
        </w:r>
      </w:hyperlink>
    </w:p>
    <w:p>
      <w:pPr>
        <w:pStyle w:val="Normal"/>
        <w:spacing w:before="0" w:after="200"/>
        <w:ind w:hanging="0" w:start="0" w:end="0"/>
        <w:rPr/>
      </w:pPr>
      <w:r>
        <w:rPr>
          <w:sz w:val="16"/>
          <w:szCs w:val="16"/>
          <w:lang w:val="en-US"/>
        </w:rPr>
        <w:t xml:space="preserve">Price MN, Dehal PS, Arkin AP (2010) FastTree 2 – Approximately Maximum-Likelihood Trees for Large Alignments. PLOS ONE 5:e9490. </w:t>
      </w:r>
      <w:hyperlink r:id="rId67">
        <w:r>
          <w:rPr>
            <w:rStyle w:val="ListLabel50"/>
            <w:sz w:val="16"/>
            <w:szCs w:val="16"/>
            <w:lang w:val="en-US"/>
          </w:rPr>
          <w:t>https://doi.org/10.1371/journal.pone.0009490</w:t>
        </w:r>
      </w:hyperlink>
    </w:p>
    <w:p>
      <w:pPr>
        <w:pStyle w:val="Normal"/>
        <w:spacing w:before="0" w:after="200"/>
        <w:ind w:hanging="0" w:start="0" w:end="0"/>
        <w:rPr/>
      </w:pPr>
      <w:r>
        <w:rPr>
          <w:sz w:val="16"/>
          <w:szCs w:val="16"/>
          <w:lang w:val="en-US"/>
        </w:rPr>
        <w:t xml:space="preserve">Quast C, Pruesse E, Yilmaz P, et al (2013) The SILVA ribosomal RNA gene database project: improved data processing and web-based tools. Nucleic Acids Res 41:D590–D596. </w:t>
      </w:r>
      <w:hyperlink r:id="rId68">
        <w:r>
          <w:rPr>
            <w:rStyle w:val="ListLabel50"/>
            <w:sz w:val="16"/>
            <w:szCs w:val="16"/>
            <w:lang w:val="en-US"/>
          </w:rPr>
          <w:t>https://doi.org/10.1093/nar/gks1219</w:t>
        </w:r>
      </w:hyperlink>
    </w:p>
    <w:p>
      <w:pPr>
        <w:pStyle w:val="Normal"/>
        <w:spacing w:before="0" w:after="200"/>
        <w:ind w:hanging="0" w:start="0" w:end="0"/>
        <w:rPr/>
      </w:pPr>
      <w:r>
        <w:rPr>
          <w:sz w:val="16"/>
          <w:szCs w:val="16"/>
          <w:lang w:val="en-US"/>
        </w:rPr>
        <w:t xml:space="preserve">Ran L, Larsson J, Vigil-Stenman T, et al (2010) Genome Erosion in a Nitrogen-Fixing Vertically Transmitted Endosymbiotic Multicellular Cyanobacterium. PLOS ONE 5:e11486. </w:t>
      </w:r>
      <w:hyperlink r:id="rId69">
        <w:r>
          <w:rPr>
            <w:rStyle w:val="ListLabel50"/>
            <w:sz w:val="16"/>
            <w:szCs w:val="16"/>
            <w:lang w:val="en-US"/>
          </w:rPr>
          <w:t>https://doi.org/10.1371/journal.pone.0011486</w:t>
        </w:r>
      </w:hyperlink>
    </w:p>
    <w:p>
      <w:pPr>
        <w:pStyle w:val="Normal"/>
        <w:spacing w:before="0" w:after="200"/>
        <w:ind w:hanging="0" w:start="0" w:end="0"/>
        <w:rPr/>
      </w:pPr>
      <w:r>
        <w:rPr>
          <w:sz w:val="16"/>
          <w:szCs w:val="16"/>
          <w:lang w:val="en-US"/>
        </w:rPr>
        <w:t xml:space="preserve">Renaudin M, Blasi C, Bradley RL, Bellenger J-P (2022) New insights into the drivers of moss-associated nitrogen fixation and cyanobacterial biomass in the eastern Canadian boreal forest. Journal of Ecology 110:1403–1418. </w:t>
      </w:r>
      <w:hyperlink r:id="rId70">
        <w:r>
          <w:rPr>
            <w:rStyle w:val="ListLabel50"/>
            <w:sz w:val="16"/>
            <w:szCs w:val="16"/>
            <w:lang w:val="en-US"/>
          </w:rPr>
          <w:t>https://doi.org/10.1111/1365-2745.13881</w:t>
        </w:r>
      </w:hyperlink>
    </w:p>
    <w:p>
      <w:pPr>
        <w:pStyle w:val="Normal"/>
        <w:spacing w:before="0" w:after="200"/>
        <w:ind w:hanging="0" w:start="0" w:end="0"/>
        <w:rPr/>
      </w:pPr>
      <w:r>
        <w:rPr>
          <w:sz w:val="16"/>
          <w:szCs w:val="16"/>
          <w:lang w:val="en-US"/>
        </w:rPr>
        <w:t xml:space="preserve">Rippka R, Deruelles J, Waterbury JB, et al (1979) Generic Assignments, Strain Histories and Properties of Pure Cultures of Cyanobacteria. Microbiology 111:1–61. </w:t>
      </w:r>
      <w:hyperlink r:id="rId71">
        <w:r>
          <w:rPr>
            <w:rStyle w:val="ListLabel50"/>
            <w:sz w:val="16"/>
            <w:szCs w:val="16"/>
            <w:lang w:val="en-US"/>
          </w:rPr>
          <w:t>https://doi.org/10.1099/00221287-111-1-1</w:t>
        </w:r>
      </w:hyperlink>
    </w:p>
    <w:p>
      <w:pPr>
        <w:pStyle w:val="Normal"/>
        <w:spacing w:before="0" w:after="200"/>
        <w:ind w:hanging="0" w:start="0" w:end="0"/>
        <w:rPr/>
      </w:pPr>
      <w:r>
        <w:rPr>
          <w:sz w:val="16"/>
          <w:szCs w:val="16"/>
          <w:lang w:val="en-US"/>
        </w:rPr>
        <w:t xml:space="preserve">Roberts AW, Roberts EM, Haigler CH (2012) Moss cell walls: structure and biosynthesis. Front Plant Sci 3:. </w:t>
      </w:r>
      <w:hyperlink r:id="rId72">
        <w:r>
          <w:rPr>
            <w:rStyle w:val="ListLabel50"/>
            <w:sz w:val="16"/>
            <w:szCs w:val="16"/>
            <w:lang w:val="en-US"/>
          </w:rPr>
          <w:t>https://doi.org/10.3389/fpls.2012.00166</w:t>
        </w:r>
      </w:hyperlink>
    </w:p>
    <w:p>
      <w:pPr>
        <w:pStyle w:val="Normal"/>
        <w:spacing w:before="0" w:after="200"/>
        <w:ind w:hanging="0" w:start="0" w:end="0"/>
        <w:rPr/>
      </w:pPr>
      <w:r>
        <w:rPr>
          <w:sz w:val="16"/>
          <w:szCs w:val="16"/>
          <w:lang w:val="en-US"/>
        </w:rPr>
        <w:t xml:space="preserve">Rodriguez RJ, White Jr JF, Arnold AE, Redman RS (2009) Fungal endophytes: diversity and functional roles. New Phytologist 182:314–330. </w:t>
      </w:r>
      <w:hyperlink r:id="rId73">
        <w:r>
          <w:rPr>
            <w:rStyle w:val="ListLabel50"/>
            <w:sz w:val="16"/>
            <w:szCs w:val="16"/>
            <w:lang w:val="en-US"/>
          </w:rPr>
          <w:t>https://doi.org/10.1111/j.1469-8137.2009.02773.x</w:t>
        </w:r>
      </w:hyperlink>
    </w:p>
    <w:p>
      <w:pPr>
        <w:pStyle w:val="Normal"/>
        <w:spacing w:before="0" w:after="200"/>
        <w:ind w:hanging="0" w:start="0" w:end="0"/>
        <w:rPr/>
      </w:pPr>
      <w:r>
        <w:rPr>
          <w:sz w:val="16"/>
          <w:szCs w:val="16"/>
          <w:lang w:val="en-US"/>
        </w:rPr>
        <w:t xml:space="preserve">Rognes T, Flouri T, Nichols B, et al (2016) VSEARCH: a versatile open source tool for metagenomics. PeerJ 4:e2584. </w:t>
      </w:r>
      <w:hyperlink r:id="rId74">
        <w:r>
          <w:rPr>
            <w:rStyle w:val="ListLabel50"/>
            <w:sz w:val="16"/>
            <w:szCs w:val="16"/>
            <w:lang w:val="en-US"/>
          </w:rPr>
          <w:t>https://doi.org/10.7717/peerj.2584</w:t>
        </w:r>
      </w:hyperlink>
    </w:p>
    <w:p>
      <w:pPr>
        <w:pStyle w:val="Normal"/>
        <w:spacing w:before="0" w:after="200"/>
        <w:ind w:hanging="0" w:start="0" w:end="0"/>
        <w:rPr/>
      </w:pPr>
      <w:r>
        <w:rPr>
          <w:sz w:val="16"/>
          <w:szCs w:val="16"/>
          <w:lang w:val="en-US"/>
        </w:rPr>
        <w:t xml:space="preserve">Rousk K (2022) Biotic and abiotic controls of nitrogen fixation in cyanobacteria–moss associations. New Phytologist 235:1330–1335. </w:t>
      </w:r>
      <w:hyperlink r:id="rId75">
        <w:r>
          <w:rPr>
            <w:rStyle w:val="ListLabel50"/>
            <w:sz w:val="16"/>
            <w:szCs w:val="16"/>
            <w:lang w:val="en-US"/>
          </w:rPr>
          <w:t>https://doi.org/10.1111/nph.18264</w:t>
        </w:r>
      </w:hyperlink>
    </w:p>
    <w:p>
      <w:pPr>
        <w:pStyle w:val="Normal"/>
        <w:spacing w:before="0" w:after="200"/>
        <w:ind w:hanging="0" w:start="0" w:end="0"/>
        <w:rPr/>
      </w:pPr>
      <w:r>
        <w:rPr>
          <w:sz w:val="16"/>
          <w:szCs w:val="16"/>
          <w:lang w:val="en-US"/>
        </w:rPr>
        <w:t xml:space="preserve">Rousk K, Michelsen A (2017) Ecosystem nitrogen fixation throughout the snow-free period in subarctic tundra: effects of willow and birch litter addition and warming. Global Change Biology 23:1552–1563. </w:t>
      </w:r>
      <w:hyperlink r:id="rId76">
        <w:r>
          <w:rPr>
            <w:rStyle w:val="ListLabel50"/>
            <w:sz w:val="16"/>
            <w:szCs w:val="16"/>
            <w:lang w:val="en-US"/>
          </w:rPr>
          <w:t>https://doi.org/10.1111/gcb.13418</w:t>
        </w:r>
      </w:hyperlink>
    </w:p>
    <w:p>
      <w:pPr>
        <w:pStyle w:val="Normal"/>
        <w:spacing w:before="0" w:after="200"/>
        <w:ind w:hanging="0" w:start="0" w:end="0"/>
        <w:rPr/>
      </w:pPr>
      <w:r>
        <w:rPr>
          <w:sz w:val="16"/>
          <w:szCs w:val="16"/>
          <w:lang w:val="en-US"/>
        </w:rPr>
        <w:t xml:space="preserve">Rousk K, Sorensen PL, Lett S, Michelsen A (2015) Across-Habitat Comparison of Diazotroph Activity in the Subarctic. Microb Ecol 69:778–787. </w:t>
      </w:r>
      <w:hyperlink r:id="rId77">
        <w:r>
          <w:rPr>
            <w:rStyle w:val="ListLabel50"/>
            <w:sz w:val="16"/>
            <w:szCs w:val="16"/>
            <w:lang w:val="en-US"/>
          </w:rPr>
          <w:t>https://doi.org/10.1007/s00248-014-0534-y</w:t>
        </w:r>
      </w:hyperlink>
    </w:p>
    <w:p>
      <w:pPr>
        <w:pStyle w:val="Normal"/>
        <w:spacing w:before="0" w:after="200"/>
        <w:ind w:hanging="0" w:start="0" w:end="0"/>
        <w:rPr>
          <w:sz w:val="16"/>
          <w:szCs w:val="16"/>
          <w:lang w:val="en-US"/>
        </w:rPr>
      </w:pPr>
      <w:r>
        <w:rPr>
          <w:sz w:val="16"/>
          <w:szCs w:val="16"/>
          <w:lang w:val="en-US"/>
        </w:rPr>
        <w:t>Solheim B, Wiggen H, Røberg S, Spaink HP (2004) Associations between arctic cyanobacteria and mosses.</w:t>
      </w:r>
    </w:p>
    <w:p>
      <w:pPr>
        <w:pStyle w:val="Normal"/>
        <w:spacing w:before="0" w:after="200"/>
        <w:ind w:hanging="0" w:start="0" w:end="0"/>
        <w:rPr/>
      </w:pPr>
      <w:r>
        <w:rPr>
          <w:sz w:val="16"/>
          <w:szCs w:val="16"/>
          <w:lang w:val="en-US"/>
        </w:rPr>
        <w:t xml:space="preserve">Song L, Xie K (2020) Engineering CRISPR/Cas9 to mitigate abundant host contamination for 16S rRNA gene-based amplicon sequencing. Microbiome 8:80. </w:t>
      </w:r>
      <w:hyperlink r:id="rId78">
        <w:r>
          <w:rPr>
            <w:rStyle w:val="ListLabel50"/>
            <w:sz w:val="16"/>
            <w:szCs w:val="16"/>
            <w:lang w:val="en-US"/>
          </w:rPr>
          <w:t>https://doi.org/10.1186/s40168-020-00859-0</w:t>
        </w:r>
      </w:hyperlink>
    </w:p>
    <w:p>
      <w:pPr>
        <w:pStyle w:val="Normal"/>
        <w:spacing w:before="0" w:after="200"/>
        <w:ind w:hanging="0" w:start="0" w:end="0"/>
        <w:rPr/>
      </w:pPr>
      <w:r>
        <w:rPr>
          <w:sz w:val="16"/>
          <w:szCs w:val="16"/>
          <w:lang w:val="en-US"/>
        </w:rPr>
        <w:t xml:space="preserve">Sprent JI, Meeks JC (2013) Cyanobacterial nitrogen fixation in association with feather mosses: moss as boss? New Phytologist 200:5–6. </w:t>
      </w:r>
      <w:hyperlink r:id="rId79">
        <w:r>
          <w:rPr>
            <w:rStyle w:val="ListLabel50"/>
            <w:sz w:val="16"/>
            <w:szCs w:val="16"/>
            <w:lang w:val="en-US"/>
          </w:rPr>
          <w:t>https://doi.org/10.1111/nph.12449</w:t>
        </w:r>
      </w:hyperlink>
    </w:p>
    <w:p>
      <w:pPr>
        <w:pStyle w:val="Normal"/>
        <w:spacing w:before="0" w:after="200"/>
        <w:ind w:hanging="0" w:start="0" w:end="0"/>
        <w:rPr/>
      </w:pPr>
      <w:r>
        <w:rPr>
          <w:sz w:val="16"/>
          <w:szCs w:val="16"/>
          <w:lang w:val="en-US"/>
        </w:rPr>
        <w:t xml:space="preserve">Strunecký O, Ivanova AP, Mareš J (2023) An updated classification of cyanobacterial orders and families based on phylogenomic and polyphasic analysis. Journal of Phycology 59:12–51. </w:t>
      </w:r>
      <w:hyperlink r:id="rId80">
        <w:r>
          <w:rPr>
            <w:rStyle w:val="ListLabel50"/>
            <w:sz w:val="16"/>
            <w:szCs w:val="16"/>
            <w:lang w:val="en-US"/>
          </w:rPr>
          <w:t>https://doi.org/10.1111/jpy.13304</w:t>
        </w:r>
      </w:hyperlink>
    </w:p>
    <w:p>
      <w:pPr>
        <w:pStyle w:val="Normal"/>
        <w:spacing w:before="0" w:after="200"/>
        <w:ind w:hanging="0" w:start="0" w:end="0"/>
        <w:rPr/>
      </w:pPr>
      <w:r>
        <w:rPr>
          <w:sz w:val="16"/>
          <w:szCs w:val="16"/>
          <w:lang w:val="en-US"/>
        </w:rPr>
        <w:t xml:space="preserve">Stuart RK, Pederson ERA, Weyman PD, et al (2020) Bidirectional C and N transfer and a potential role for sulfur in an epiphytic diazotrophic mutualism. ISME J 14:3068–3078. </w:t>
      </w:r>
      <w:hyperlink r:id="rId81">
        <w:r>
          <w:rPr>
            <w:rStyle w:val="ListLabel50"/>
            <w:sz w:val="16"/>
            <w:szCs w:val="16"/>
            <w:lang w:val="en-US"/>
          </w:rPr>
          <w:t>https://doi.org/10.1038/s41396-020-00738-4</w:t>
        </w:r>
      </w:hyperlink>
    </w:p>
    <w:p>
      <w:pPr>
        <w:pStyle w:val="Normal"/>
        <w:spacing w:before="0" w:after="200"/>
        <w:ind w:hanging="0" w:start="0" w:end="0"/>
        <w:rPr/>
      </w:pPr>
      <w:r>
        <w:rPr>
          <w:sz w:val="16"/>
          <w:szCs w:val="16"/>
          <w:lang w:val="en-US"/>
        </w:rPr>
        <w:t xml:space="preserve">Sun D-L, Jiang X, Wu QL, Zhou N-Y (2013) Intragenomic Heterogeneity of 16S rRNA Genes Causes Overestimation of Prokaryotic Diversity. Applied and Environmental Microbiology 79:5962–5969. </w:t>
      </w:r>
      <w:hyperlink r:id="rId82">
        <w:r>
          <w:rPr>
            <w:rStyle w:val="ListLabel50"/>
            <w:sz w:val="16"/>
            <w:szCs w:val="16"/>
            <w:lang w:val="en-US"/>
          </w:rPr>
          <w:t>https://doi.org/10.1128/AEM.01282-13</w:t>
        </w:r>
      </w:hyperlink>
    </w:p>
    <w:p>
      <w:pPr>
        <w:pStyle w:val="Normal"/>
        <w:spacing w:before="0" w:after="200"/>
        <w:ind w:hanging="0" w:start="0" w:end="0"/>
        <w:rPr/>
      </w:pPr>
      <w:r>
        <w:rPr>
          <w:sz w:val="16"/>
          <w:szCs w:val="16"/>
          <w:lang w:val="en-US"/>
        </w:rPr>
        <w:t xml:space="preserve">Suquilanda-Pesántez JD, Salazar EDA, Almeida-Galárraga D, et al (2022) NIFtHool: an informatics program for identification of </w:t>
      </w:r>
      <w:r>
        <w:rPr>
          <w:i/>
          <w:sz w:val="16"/>
          <w:szCs w:val="16"/>
          <w:lang w:val="en-US"/>
        </w:rPr>
        <w:t>nifH</w:t>
      </w:r>
      <w:r>
        <w:rPr>
          <w:sz w:val="16"/>
          <w:szCs w:val="16"/>
          <w:lang w:val="en-US"/>
        </w:rPr>
        <w:t xml:space="preserve"> proteins using deep neural networks</w:t>
      </w:r>
    </w:p>
    <w:p>
      <w:pPr>
        <w:pStyle w:val="Normal"/>
        <w:spacing w:before="0" w:after="200"/>
        <w:ind w:hanging="0" w:start="0" w:end="0"/>
        <w:rPr/>
      </w:pPr>
      <w:r>
        <w:rPr>
          <w:sz w:val="16"/>
          <w:szCs w:val="16"/>
          <w:lang w:val="en-US"/>
        </w:rPr>
        <w:t xml:space="preserve">Tedersoo L, Bahram M, Zinger L, et al (2022) Best practices in metabarcoding of fungi: From experimental design to results. Molecular Ecology 31:2769–2795. </w:t>
      </w:r>
      <w:hyperlink r:id="rId83">
        <w:r>
          <w:rPr>
            <w:rStyle w:val="ListLabel50"/>
            <w:sz w:val="16"/>
            <w:szCs w:val="16"/>
            <w:lang w:val="en-US"/>
          </w:rPr>
          <w:t>https://doi.org/10.1111/mec.16460</w:t>
        </w:r>
      </w:hyperlink>
    </w:p>
    <w:p>
      <w:pPr>
        <w:pStyle w:val="Normal"/>
        <w:spacing w:before="0" w:after="200"/>
        <w:ind w:hanging="0" w:start="0" w:end="0"/>
        <w:rPr/>
      </w:pPr>
      <w:r>
        <w:rPr>
          <w:sz w:val="16"/>
          <w:szCs w:val="16"/>
          <w:lang w:val="en-US"/>
        </w:rPr>
        <w:t xml:space="preserve">Tedersoo L, Mikryukov V, Anslan S, et al (2021) The Global Soil Mycobiome consortium dataset for boosting fungal diversity research. Fungal Diversity 111:573–588. </w:t>
      </w:r>
      <w:hyperlink r:id="rId84">
        <w:r>
          <w:rPr>
            <w:rStyle w:val="ListLabel50"/>
            <w:sz w:val="16"/>
            <w:szCs w:val="16"/>
            <w:lang w:val="en-US"/>
          </w:rPr>
          <w:t>https://doi.org/10.1007/s13225-021-00493-7</w:t>
        </w:r>
      </w:hyperlink>
    </w:p>
    <w:p>
      <w:pPr>
        <w:pStyle w:val="Normal"/>
        <w:spacing w:before="0" w:after="200"/>
        <w:ind w:hanging="0" w:start="0" w:end="0"/>
        <w:rPr/>
      </w:pPr>
      <w:r>
        <w:rPr>
          <w:sz w:val="16"/>
          <w:szCs w:val="16"/>
          <w:lang w:val="en-US"/>
        </w:rPr>
        <w:t xml:space="preserve">Thiel T (1993) Characterization of genes for an alternative nitrogenase in the cyanobacterium Anabaena variabilis. Journal of Bacteriology 175:6276–6286. </w:t>
      </w:r>
      <w:hyperlink r:id="rId85">
        <w:r>
          <w:rPr>
            <w:rStyle w:val="ListLabel50"/>
            <w:sz w:val="16"/>
            <w:szCs w:val="16"/>
            <w:lang w:val="en-US"/>
          </w:rPr>
          <w:t>https://doi.org/10.1128/jb.175.19.6276-6286.1993</w:t>
        </w:r>
      </w:hyperlink>
    </w:p>
    <w:p>
      <w:pPr>
        <w:pStyle w:val="Normal"/>
        <w:spacing w:before="0" w:after="200"/>
        <w:ind w:hanging="0" w:start="0" w:end="0"/>
        <w:rPr/>
      </w:pPr>
      <w:r>
        <w:rPr>
          <w:sz w:val="16"/>
          <w:szCs w:val="16"/>
          <w:lang w:val="en-US"/>
        </w:rPr>
        <w:t xml:space="preserve">Thiel T, Lyons EM, Erker JC, Ernst A (1995) A second nitrogenase in vegetative cells of a heterocyst-forming cyanobacterium. Proceedings of the National Academy of Sciences 92:9358–9362. </w:t>
      </w:r>
      <w:hyperlink r:id="rId86">
        <w:r>
          <w:rPr>
            <w:rStyle w:val="ListLabel50"/>
            <w:sz w:val="16"/>
            <w:szCs w:val="16"/>
            <w:lang w:val="en-US"/>
          </w:rPr>
          <w:t>https://doi.org/10.1073/pnas.92.20.9358</w:t>
        </w:r>
      </w:hyperlink>
    </w:p>
    <w:p>
      <w:pPr>
        <w:pStyle w:val="Normal"/>
        <w:spacing w:before="0" w:after="245"/>
        <w:ind w:hanging="0" w:start="0" w:end="0"/>
        <w:jc w:val="start"/>
        <w:rPr/>
      </w:pPr>
      <w:r>
        <w:rPr>
          <w:rFonts w:eastAsia="Arial" w:cs="Arial"/>
          <w:sz w:val="16"/>
          <w:szCs w:val="16"/>
          <w:lang w:val="en-US"/>
        </w:rPr>
        <w:t xml:space="preserve">Tipton L, Darcy JL, Hynson NA (2019) A Developing Symbiosis: Enabling Cross-Talk Between Ecologists and Microbiome Scientists. Front Microbiol 10:. </w:t>
      </w:r>
      <w:hyperlink r:id="rId87">
        <w:r>
          <w:rPr>
            <w:rStyle w:val="Hyperlink"/>
            <w:rFonts w:eastAsia="Arial" w:cs="Arial"/>
            <w:sz w:val="16"/>
            <w:szCs w:val="16"/>
            <w:lang w:val="en-US"/>
          </w:rPr>
          <w:t>https://doi.org/10.3389/fmicb.2019.00292</w:t>
        </w:r>
      </w:hyperlink>
    </w:p>
    <w:p>
      <w:pPr>
        <w:pStyle w:val="Normal"/>
        <w:spacing w:before="0" w:after="200"/>
        <w:ind w:hanging="0" w:start="0" w:end="0"/>
        <w:rPr/>
      </w:pPr>
      <w:r>
        <w:rPr>
          <w:sz w:val="16"/>
          <w:szCs w:val="16"/>
          <w:lang w:val="en-US"/>
        </w:rPr>
        <w:t xml:space="preserve">Tobimatsu Y, Wagner A, Donaldson L, et al (2013) Visualization of plant cell wall lignification using fluorescence-tagged monolignols. The Plant Journal 76:357–366. </w:t>
      </w:r>
      <w:hyperlink r:id="rId88">
        <w:r>
          <w:rPr>
            <w:rStyle w:val="ListLabel50"/>
            <w:sz w:val="16"/>
            <w:szCs w:val="16"/>
            <w:lang w:val="en-US"/>
          </w:rPr>
          <w:t>https://doi.org/10.1111/tpj.12299</w:t>
        </w:r>
      </w:hyperlink>
    </w:p>
    <w:p>
      <w:pPr>
        <w:pStyle w:val="Normal"/>
        <w:spacing w:before="0" w:after="200"/>
        <w:ind w:hanging="0" w:start="0" w:end="0"/>
        <w:rPr/>
      </w:pPr>
      <w:r>
        <w:rPr>
          <w:sz w:val="16"/>
          <w:szCs w:val="16"/>
          <w:lang w:val="en-US"/>
        </w:rPr>
        <w:t xml:space="preserve">Tumescheit C, Firth AE, Brown K (2022) CIAlign: A highly customisable command line tool to clean, interpret and visualise multiple sequence alignments. PeerJ 10:e12983. </w:t>
      </w:r>
      <w:hyperlink r:id="rId89">
        <w:r>
          <w:rPr>
            <w:rStyle w:val="ListLabel50"/>
            <w:sz w:val="16"/>
            <w:szCs w:val="16"/>
            <w:lang w:val="en-US"/>
          </w:rPr>
          <w:t>https://doi.org/10.7717/peerj.12983</w:t>
        </w:r>
      </w:hyperlink>
    </w:p>
    <w:p>
      <w:pPr>
        <w:pStyle w:val="Normal"/>
        <w:spacing w:before="0" w:after="200"/>
        <w:ind w:hanging="0" w:start="0" w:end="0"/>
        <w:rPr/>
      </w:pPr>
      <w:r>
        <w:rPr>
          <w:sz w:val="16"/>
          <w:szCs w:val="16"/>
          <w:lang w:val="en-US"/>
        </w:rPr>
        <w:t xml:space="preserve">Tveit AT, Kiss A, Winkel M, et al (2020) Environmental patterns of brown moss- and </w:t>
      </w:r>
      <w:r>
        <w:rPr>
          <w:i/>
          <w:sz w:val="16"/>
          <w:szCs w:val="16"/>
          <w:lang w:val="en-US"/>
        </w:rPr>
        <w:t>Sphagnum</w:t>
      </w:r>
      <w:r>
        <w:rPr>
          <w:sz w:val="16"/>
          <w:szCs w:val="16"/>
          <w:lang w:val="en-US"/>
        </w:rPr>
        <w:t xml:space="preserve">-associated microbial communities. Sci Rep 10:1–16. </w:t>
      </w:r>
      <w:hyperlink r:id="rId90">
        <w:r>
          <w:rPr>
            <w:rStyle w:val="ListLabel50"/>
            <w:sz w:val="16"/>
            <w:szCs w:val="16"/>
            <w:lang w:val="en-US"/>
          </w:rPr>
          <w:t>https://doi.org/10.1038/s41598-020-79773-2</w:t>
        </w:r>
      </w:hyperlink>
    </w:p>
    <w:p>
      <w:pPr>
        <w:pStyle w:val="Normal"/>
        <w:spacing w:before="0" w:after="200"/>
        <w:ind w:hanging="0" w:start="0" w:end="0"/>
        <w:rPr/>
      </w:pPr>
      <w:r>
        <w:rPr>
          <w:sz w:val="16"/>
          <w:szCs w:val="16"/>
          <w:lang w:val="en-US"/>
        </w:rPr>
        <w:t xml:space="preserve">U’Ren JM, Lutzoni F, Miadlikowska J, Arnold AE (2010) Community Analysis Reveals Close Affinities Between Endophytic and Endolichenic Fungi in Mosses and Lichens. Microb Ecol 60:340–353. </w:t>
      </w:r>
      <w:hyperlink r:id="rId91">
        <w:r>
          <w:rPr>
            <w:rStyle w:val="ListLabel50"/>
            <w:sz w:val="16"/>
            <w:szCs w:val="16"/>
            <w:lang w:val="en-US"/>
          </w:rPr>
          <w:t>https://doi.org/10.1007/s00248-010-9698-2</w:t>
        </w:r>
      </w:hyperlink>
    </w:p>
    <w:p>
      <w:pPr>
        <w:pStyle w:val="Normal"/>
        <w:spacing w:before="0" w:after="200"/>
        <w:ind w:hanging="0" w:start="0" w:end="0"/>
        <w:rPr/>
      </w:pPr>
      <w:r>
        <w:rPr>
          <w:sz w:val="16"/>
          <w:szCs w:val="16"/>
          <w:lang w:val="en-US"/>
        </w:rPr>
        <w:t xml:space="preserve">Warshan D, Bay G, Nahar N, et al (2016) Seasonal variation in </w:t>
      </w:r>
      <w:r>
        <w:rPr>
          <w:i/>
          <w:sz w:val="16"/>
          <w:szCs w:val="16"/>
          <w:lang w:val="en-US"/>
        </w:rPr>
        <w:t>nifH</w:t>
      </w:r>
      <w:r>
        <w:rPr>
          <w:sz w:val="16"/>
          <w:szCs w:val="16"/>
          <w:lang w:val="en-US"/>
        </w:rPr>
        <w:t xml:space="preserve"> abundance and expression of cyanobacterial communities associated with boreal feather mosses. ISME J 10:2198–2208. </w:t>
      </w:r>
      <w:hyperlink r:id="rId92">
        <w:r>
          <w:rPr>
            <w:rStyle w:val="ListLabel50"/>
            <w:sz w:val="16"/>
            <w:szCs w:val="16"/>
            <w:lang w:val="en-US"/>
          </w:rPr>
          <w:t>https://doi.org/10.1038/ismej.2016.17</w:t>
        </w:r>
      </w:hyperlink>
    </w:p>
    <w:p>
      <w:pPr>
        <w:pStyle w:val="Normal"/>
        <w:spacing w:before="0" w:after="200"/>
        <w:ind w:hanging="0" w:start="0" w:end="0"/>
        <w:rPr/>
      </w:pPr>
      <w:r>
        <w:rPr>
          <w:sz w:val="16"/>
          <w:szCs w:val="16"/>
          <w:lang w:val="en-US"/>
        </w:rPr>
        <w:t xml:space="preserve">Wojtasiewicz B, Stoń-Egiert J (2016) Bio-optical characterization of selected cyanobacteria strains present in marine and freshwater ecosystems. J Appl Phycol 28:2299–2314. </w:t>
      </w:r>
      <w:hyperlink r:id="rId93">
        <w:r>
          <w:rPr>
            <w:rStyle w:val="ListLabel50"/>
            <w:sz w:val="16"/>
            <w:szCs w:val="16"/>
            <w:lang w:val="en-US"/>
          </w:rPr>
          <w:t>https://doi.org/10.1007/s10811-015-0774-3</w:t>
        </w:r>
      </w:hyperlink>
    </w:p>
    <w:p>
      <w:pPr>
        <w:pStyle w:val="Normal"/>
        <w:spacing w:before="0" w:after="200"/>
        <w:ind w:hanging="0" w:start="0" w:end="0"/>
        <w:rPr/>
      </w:pPr>
      <w:r>
        <w:rPr>
          <w:sz w:val="16"/>
          <w:szCs w:val="16"/>
          <w:lang w:val="en-US"/>
        </w:rPr>
        <w:t xml:space="preserve">Zehr JP, Jenkins BD, Short SM, Steward GF (2003) Nitrogenase gene diversity and microbial community structure: a cross-system comparison. Environmental Microbiology 5:539–554. </w:t>
      </w:r>
      <w:hyperlink r:id="rId94">
        <w:r>
          <w:rPr>
            <w:rStyle w:val="ListLabel50"/>
            <w:sz w:val="16"/>
            <w:szCs w:val="16"/>
            <w:lang w:val="en-US"/>
          </w:rPr>
          <w:t>https://doi.org/10.1046/j.1462-2920.2003.00451.x</w:t>
        </w:r>
      </w:hyperlink>
    </w:p>
    <w:p>
      <w:pPr>
        <w:pStyle w:val="Normal"/>
        <w:spacing w:before="0" w:after="200"/>
        <w:ind w:hanging="0" w:start="0" w:end="0"/>
        <w:rPr>
          <w:sz w:val="16"/>
          <w:szCs w:val="16"/>
          <w:lang w:val="en-US"/>
        </w:rPr>
      </w:pPr>
      <w:r>
        <w:rPr>
          <w:sz w:val="16"/>
          <w:szCs w:val="16"/>
          <w:lang w:val="en-US"/>
        </w:rPr>
        <w:t>Zeng YH, Koblížek M, Li YX, et al (2013) Long PCR‐RFLP of 16S‐ITS‐23S rRNA genes: a high‐resolution molecular tool for bacterial genotyping. Journal of Applied Microbiology 114:433–447</w:t>
      </w:r>
    </w:p>
    <w:p>
      <w:pPr>
        <w:pStyle w:val="Normal"/>
        <w:spacing w:before="0" w:after="200"/>
        <w:ind w:hanging="0" w:start="0" w:end="0"/>
        <w:rPr>
          <w:sz w:val="16"/>
          <w:szCs w:val="16"/>
          <w:lang w:val="en-US"/>
        </w:rPr>
      </w:pPr>
      <w:r>
        <w:rPr>
          <w:sz w:val="16"/>
          <w:szCs w:val="16"/>
          <w:lang w:val="en-US"/>
        </w:rPr>
        <w:t>Zheng M, Zhang W, Luo Y, et al (2019) The Inhibitory Effects of Nitrogen Deposition on Asymbiotic Nitrogen Fixation are Divergent Between a Tropical and a Temperate Forest. Ecosystems 22:955–967. https://doi.org/10.1007/s10021-018-0313-6</w:t>
      </w:r>
    </w:p>
    <w:sectPr>
      <w:headerReference w:type="default" r:id="rId95"/>
      <w:footerReference w:type="default" r:id="rId96"/>
      <w:type w:val="nextPage"/>
      <w:pgSz w:w="12240" w:h="15840"/>
      <w:pgMar w:left="1440" w:right="1440" w:gutter="0" w:header="720" w:top="1440" w:footer="720" w:bottom="1440"/>
      <w:lnNumType w:countBy="1" w:restart="continuous" w:distance="28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erif">
    <w:altName w:val="Times New Roman"/>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characterSet="utf-8"/>
    <w:family w:val="roman"/>
    <w:pitch w:val="variable"/>
  </w:font>
  <w:font w:name="Liberation Sans">
    <w:altName w:val="Arial"/>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Header"/>
            <w:widowControl/>
            <w:bidi w:val="0"/>
            <w:spacing w:lineRule="auto" w:line="276" w:before="0" w:after="0"/>
            <w:ind w:hanging="0" w:start="-115" w:end="0"/>
            <w:jc w:val="start"/>
            <w:rPr>
              <w:rFonts w:ascii="Arial" w:hAnsi="Arial" w:eastAsia="Arial" w:cs="Arial"/>
              <w:kern w:val="0"/>
              <w:sz w:val="22"/>
              <w:szCs w:val="22"/>
              <w:lang w:eastAsia="ja-JP" w:bidi="ar-SA"/>
            </w:rPr>
          </w:pPr>
          <w:r>
            <w:rPr>
              <w:rFonts w:eastAsia="Arial" w:cs="Arial"/>
              <w:kern w:val="0"/>
              <w:sz w:val="22"/>
              <w:szCs w:val="22"/>
              <w:lang w:eastAsia="ja-JP" w:bidi="ar-SA"/>
            </w:rPr>
          </w:r>
        </w:p>
      </w:tc>
      <w:tc>
        <w:tcPr>
          <w:tcW w:w="3120" w:type="dxa"/>
          <w:tcBorders/>
        </w:tcPr>
        <w:p>
          <w:pPr>
            <w:pStyle w:val="Header"/>
            <w:widowControl/>
            <w:bidi w:val="0"/>
            <w:spacing w:lineRule="auto" w:line="276" w:before="0" w:after="0"/>
            <w:jc w:val="center"/>
            <w:rPr>
              <w:rFonts w:ascii="Arial" w:hAnsi="Arial" w:eastAsia="Arial" w:cs="Arial"/>
              <w:kern w:val="0"/>
              <w:sz w:val="22"/>
              <w:szCs w:val="22"/>
              <w:lang w:eastAsia="ja-JP" w:bidi="ar-SA"/>
            </w:rPr>
          </w:pPr>
          <w:r>
            <w:rPr>
              <w:rFonts w:eastAsia="Arial" w:cs="Arial"/>
              <w:kern w:val="0"/>
              <w:sz w:val="22"/>
              <w:szCs w:val="22"/>
              <w:lang w:eastAsia="ja-JP" w:bidi="ar-SA"/>
            </w:rPr>
          </w:r>
        </w:p>
      </w:tc>
      <w:tc>
        <w:tcPr>
          <w:tcW w:w="3120" w:type="dxa"/>
          <w:tcBorders/>
        </w:tcPr>
        <w:p>
          <w:pPr>
            <w:pStyle w:val="Header"/>
            <w:widowControl/>
            <w:bidi w:val="0"/>
            <w:spacing w:lineRule="auto" w:line="276" w:before="0" w:after="0"/>
            <w:ind w:hanging="0" w:start="0" w:end="-115"/>
            <w:jc w:val="end"/>
            <w:rPr>
              <w:rFonts w:ascii="Arial" w:hAnsi="Arial" w:eastAsia="Arial" w:cs="Arial"/>
              <w:kern w:val="0"/>
              <w:sz w:val="22"/>
              <w:szCs w:val="22"/>
              <w:lang w:eastAsia="ja-JP" w:bidi="ar-SA"/>
            </w:rPr>
          </w:pPr>
          <w:r>
            <w:rPr>
              <w:rFonts w:eastAsia="Arial" w:cs="Arial"/>
              <w:kern w:val="0"/>
              <w:sz w:val="22"/>
              <w:szCs w:val="22"/>
              <w:lang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Header"/>
            <w:widowControl/>
            <w:bidi w:val="0"/>
            <w:spacing w:lineRule="auto" w:line="276" w:before="0" w:after="0"/>
            <w:ind w:hanging="0" w:start="-115" w:end="0"/>
            <w:jc w:val="start"/>
            <w:rPr>
              <w:rFonts w:ascii="Arial" w:hAnsi="Arial" w:eastAsia="Arial" w:cs="Arial"/>
              <w:kern w:val="0"/>
              <w:sz w:val="22"/>
              <w:szCs w:val="22"/>
              <w:lang w:eastAsia="ja-JP" w:bidi="ar-SA"/>
            </w:rPr>
          </w:pPr>
          <w:r>
            <w:rPr>
              <w:rFonts w:eastAsia="Arial" w:cs="Arial"/>
              <w:kern w:val="0"/>
              <w:sz w:val="22"/>
              <w:szCs w:val="22"/>
              <w:lang w:eastAsia="ja-JP" w:bidi="ar-SA"/>
            </w:rPr>
            <w:fldChar w:fldCharType="begin"/>
          </w:r>
          <w:r>
            <w:rPr>
              <w:sz w:val="22"/>
              <w:kern w:val="0"/>
              <w:szCs w:val="22"/>
              <w:rFonts w:eastAsia="Arial" w:cs="Arial"/>
              <w:lang w:eastAsia="ja-JP" w:bidi="ar-SA"/>
            </w:rPr>
            <w:instrText xml:space="preserve"> PAGE </w:instrText>
          </w:r>
          <w:r>
            <w:rPr>
              <w:sz w:val="22"/>
              <w:kern w:val="0"/>
              <w:szCs w:val="22"/>
              <w:rFonts w:eastAsia="Arial" w:cs="Arial"/>
              <w:lang w:eastAsia="ja-JP" w:bidi="ar-SA"/>
            </w:rPr>
            <w:fldChar w:fldCharType="separate"/>
          </w:r>
          <w:r>
            <w:rPr>
              <w:sz w:val="22"/>
              <w:kern w:val="0"/>
              <w:szCs w:val="22"/>
              <w:rFonts w:eastAsia="Arial" w:cs="Arial"/>
              <w:lang w:eastAsia="ja-JP" w:bidi="ar-SA"/>
            </w:rPr>
            <w:t>30</w:t>
          </w:r>
          <w:r>
            <w:rPr>
              <w:sz w:val="22"/>
              <w:kern w:val="0"/>
              <w:szCs w:val="22"/>
              <w:rFonts w:eastAsia="Arial" w:cs="Arial"/>
              <w:lang w:eastAsia="ja-JP" w:bidi="ar-SA"/>
            </w:rPr>
            <w:fldChar w:fldCharType="end"/>
          </w:r>
          <w:r>
            <w:rPr>
              <w:rFonts w:eastAsia="Arial" w:cs="Arial"/>
              <w:kern w:val="0"/>
              <w:sz w:val="22"/>
              <w:szCs w:val="22"/>
              <w:lang w:eastAsia="ja-JP" w:bidi="ar-SA"/>
            </w:rPr>
            <w:t xml:space="preserve"> </w:t>
          </w:r>
          <w:r>
            <w:rPr>
              <w:rFonts w:eastAsia="Arial" w:cs="Arial"/>
              <w:kern w:val="0"/>
              <w:sz w:val="22"/>
              <w:szCs w:val="22"/>
              <w:lang w:eastAsia="ja-JP" w:bidi="ar-SA"/>
            </w:rPr>
            <w:t xml:space="preserve">of </w:t>
          </w:r>
          <w:r>
            <w:rPr>
              <w:rFonts w:eastAsia="Arial" w:cs="Arial"/>
              <w:kern w:val="0"/>
              <w:sz w:val="22"/>
              <w:szCs w:val="22"/>
              <w:lang w:eastAsia="ja-JP" w:bidi="ar-SA"/>
            </w:rPr>
            <w:fldChar w:fldCharType="begin"/>
          </w:r>
          <w:r>
            <w:rPr>
              <w:sz w:val="22"/>
              <w:kern w:val="0"/>
              <w:szCs w:val="22"/>
              <w:rFonts w:eastAsia="Arial" w:cs="Arial"/>
              <w:lang w:eastAsia="ja-JP" w:bidi="ar-SA"/>
            </w:rPr>
            <w:instrText xml:space="preserve"> NUMPAGES </w:instrText>
          </w:r>
          <w:r>
            <w:rPr>
              <w:sz w:val="22"/>
              <w:kern w:val="0"/>
              <w:szCs w:val="22"/>
              <w:rFonts w:eastAsia="Arial" w:cs="Arial"/>
              <w:lang w:eastAsia="ja-JP" w:bidi="ar-SA"/>
            </w:rPr>
            <w:fldChar w:fldCharType="separate"/>
          </w:r>
          <w:r>
            <w:rPr>
              <w:sz w:val="22"/>
              <w:kern w:val="0"/>
              <w:szCs w:val="22"/>
              <w:rFonts w:eastAsia="Arial" w:cs="Arial"/>
              <w:lang w:eastAsia="ja-JP" w:bidi="ar-SA"/>
            </w:rPr>
            <w:t>30</w:t>
          </w:r>
          <w:r>
            <w:rPr>
              <w:sz w:val="22"/>
              <w:kern w:val="0"/>
              <w:szCs w:val="22"/>
              <w:rFonts w:eastAsia="Arial" w:cs="Arial"/>
              <w:lang w:eastAsia="ja-JP" w:bidi="ar-SA"/>
            </w:rPr>
            <w:fldChar w:fldCharType="end"/>
          </w:r>
        </w:p>
      </w:tc>
      <w:tc>
        <w:tcPr>
          <w:tcW w:w="3120" w:type="dxa"/>
          <w:tcBorders/>
        </w:tcPr>
        <w:p>
          <w:pPr>
            <w:pStyle w:val="Header"/>
            <w:widowControl/>
            <w:bidi w:val="0"/>
            <w:spacing w:lineRule="auto" w:line="276" w:before="0" w:after="0"/>
            <w:jc w:val="center"/>
            <w:rPr>
              <w:rFonts w:ascii="Arial" w:hAnsi="Arial" w:eastAsia="Arial" w:cs="Arial"/>
              <w:kern w:val="0"/>
              <w:sz w:val="22"/>
              <w:szCs w:val="22"/>
              <w:lang w:eastAsia="ja-JP" w:bidi="ar-SA"/>
            </w:rPr>
          </w:pPr>
          <w:r>
            <w:rPr>
              <w:rFonts w:eastAsia="Arial" w:cs="Arial"/>
              <w:kern w:val="0"/>
              <w:sz w:val="22"/>
              <w:szCs w:val="22"/>
              <w:lang w:eastAsia="ja-JP" w:bidi="ar-SA"/>
            </w:rPr>
          </w:r>
        </w:p>
      </w:tc>
      <w:tc>
        <w:tcPr>
          <w:tcW w:w="3120" w:type="dxa"/>
          <w:tcBorders/>
        </w:tcPr>
        <w:p>
          <w:pPr>
            <w:pStyle w:val="Header"/>
            <w:widowControl/>
            <w:bidi w:val="0"/>
            <w:spacing w:lineRule="auto" w:line="276" w:before="0" w:after="0"/>
            <w:ind w:hanging="0" w:start="0" w:end="-115"/>
            <w:jc w:val="end"/>
            <w:rPr>
              <w:rFonts w:ascii="Arial" w:hAnsi="Arial" w:eastAsia="Arial" w:cs="Arial"/>
              <w:kern w:val="0"/>
              <w:sz w:val="22"/>
              <w:szCs w:val="22"/>
              <w:lang w:eastAsia="ja-JP" w:bidi="ar-SA"/>
            </w:rPr>
          </w:pPr>
          <w:r>
            <w:rPr>
              <w:rFonts w:eastAsia="Arial" w:cs="Arial"/>
              <w:kern w:val="0"/>
              <w:sz w:val="22"/>
              <w:szCs w:val="22"/>
              <w:lang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sz w:val="22"/>
        <w:u w:val="none"/>
        <w:szCs w:val="22"/>
        <w:color w:val="5C6A70"/>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ja-JP"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0"/>
      <w:jc w:val="start"/>
    </w:pPr>
    <w:rPr>
      <w:rFonts w:ascii="Arial" w:hAnsi="Arial" w:eastAsia="Arial" w:cs="Arial"/>
      <w:i w:val="false"/>
      <w:iCs w:val="false"/>
      <w:color w:val="auto"/>
      <w:kern w:val="0"/>
      <w:sz w:val="22"/>
      <w:szCs w:val="22"/>
      <w:lang w:val="en-US" w:eastAsia="ja-JP" w:bidi="ar-SA"/>
    </w:rPr>
  </w:style>
  <w:style w:type="paragraph" w:styleId="Heading1">
    <w:name w:val="Heading 1"/>
    <w:basedOn w:val="Normal"/>
    <w:next w:val="Normal"/>
    <w:qFormat/>
    <w:pPr>
      <w:keepNext w:val="true"/>
      <w:keepLines/>
      <w:numPr>
        <w:ilvl w:val="0"/>
        <w:numId w:val="0"/>
      </w:numPr>
      <w:spacing w:before="400" w:after="120"/>
      <w:outlineLvl w:val="0"/>
    </w:pPr>
    <w:rPr>
      <w:sz w:val="40"/>
      <w:szCs w:val="40"/>
    </w:rPr>
  </w:style>
  <w:style w:type="paragraph" w:styleId="Heading2">
    <w:name w:val="Heading 2"/>
    <w:basedOn w:val="Normal"/>
    <w:next w:val="Normal"/>
    <w:qFormat/>
    <w:pPr>
      <w:keepNext w:val="true"/>
      <w:keepLines/>
      <w:numPr>
        <w:ilvl w:val="0"/>
        <w:numId w:val="0"/>
      </w:numPr>
      <w:spacing w:before="360" w:after="120"/>
      <w:outlineLvl w:val="1"/>
    </w:pPr>
    <w:rPr>
      <w:sz w:val="32"/>
      <w:szCs w:val="32"/>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iCs/>
      <w:color w:val="666666"/>
    </w:rPr>
  </w:style>
  <w:style w:type="character" w:styleId="DefaultParagraphFont">
    <w:name w:val="Default Paragraph Font"/>
    <w:qFormat/>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Hyperlink">
    <w:name w:val="Hyperlink"/>
    <w:basedOn w:val="DefaultParagraphFont"/>
    <w:rPr>
      <w:color w:val="0000FF"/>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AnnotationText">
    <w:name w:val="Annotation Text"/>
    <w:basedOn w:val="Normal"/>
    <w:link w:val="CommentTextChar"/>
    <w:pPr/>
    <w:rPr>
      <w:sz w:val="20"/>
      <w:szCs w:val="20"/>
    </w:rPr>
  </w:style>
  <w:style w:type="paragraph" w:styleId="HeaderandFooter">
    <w:name w:val="Header and Footer"/>
    <w:basedOn w:val="Normal"/>
    <w:qFormat/>
    <w:pPr/>
    <w:rPr/>
  </w:style>
  <w:style w:type="paragraph" w:styleId="Header">
    <w:name w:val="Header"/>
    <w:basedOn w:val="Normal"/>
    <w:pPr>
      <w:suppressLineNumbers/>
      <w:tabs>
        <w:tab w:val="clear" w:pos="720"/>
        <w:tab w:val="center" w:pos="4680" w:leader="none"/>
        <w:tab w:val="right" w:pos="9360" w:leader="none"/>
      </w:tabs>
      <w:spacing w:before="0" w:after="0"/>
    </w:pPr>
    <w:rPr/>
  </w:style>
  <w:style w:type="paragraph" w:styleId="Footer">
    <w:name w:val="Footer"/>
    <w:basedOn w:val="Normal"/>
    <w:pPr>
      <w:suppressLineNumbers/>
      <w:tabs>
        <w:tab w:val="clear" w:pos="720"/>
        <w:tab w:val="center" w:pos="4680" w:leader="none"/>
        <w:tab w:val="right" w:pos="9360" w:leader="none"/>
      </w:tabs>
      <w:spacing w:before="0" w:after="0"/>
    </w:pPr>
    <w:rPr/>
  </w:style>
  <w:style w:type="paragraph" w:styleId="ListParagraph">
    <w:name w:val="List Paragraph"/>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n-net.com/" TargetMode="External"/><Relationship Id="rId4" Type="http://schemas.openxmlformats.org/officeDocument/2006/relationships/hyperlink" Target="https://www.arb-silva.de/current-release/DADA2/1.36.0/SSU" TargetMode="External"/><Relationship Id="rId5" Type="http://schemas.openxmlformats.org/officeDocument/2006/relationships/hyperlink" Target="https://blast.ncbi.nlm.nih.gov/" TargetMode="External"/><Relationship Id="rId6" Type="http://schemas.openxmlformats.org/officeDocument/2006/relationships/hyperlink" Target="https://zenodo.org/records/7864137" TargetMode="External"/><Relationship Id="rId7" Type="http://schemas.openxmlformats.org/officeDocument/2006/relationships/hyperlink" Target="https://zenodo.org/records/13910424" TargetMode="External"/><Relationship Id="rId8" Type="http://schemas.openxmlformats.org/officeDocument/2006/relationships/hyperlink" Target="https://github.com/tseemann/barrnap" TargetMode="Externa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hyperlink" Target="https://bayern.moose-deutschland.de/" TargetMode="External"/><Relationship Id="rId22" Type="http://schemas.openxmlformats.org/officeDocument/2006/relationships/hyperlink" Target="https://github.com/danchurch/scalingUpByLookingCloser_Feulner_etal/tree/main/suppData" TargetMode="External"/><Relationship Id="rId23" Type="http://schemas.openxmlformats.org/officeDocument/2006/relationships/hyperlink" Target="https://doi.org/10.1093/jxb/ern005" TargetMode="External"/><Relationship Id="rId24" Type="http://schemas.openxmlformats.org/officeDocument/2006/relationships/hyperlink" Target="https://doi.org/10.1016/S0022-2836(05)80360-2" TargetMode="External"/><Relationship Id="rId25" Type="http://schemas.openxmlformats.org/officeDocument/2006/relationships/hyperlink" Target="https://doi.org/10.1007/s00248-024-02363-6" TargetMode="External"/><Relationship Id="rId26" Type="http://schemas.openxmlformats.org/officeDocument/2006/relationships/hyperlink" Target="https://doi.org/10.1093/jxb/erac091" TargetMode="External"/><Relationship Id="rId27" Type="http://schemas.openxmlformats.org/officeDocument/2006/relationships/hyperlink" Target="https://doi.org/10.3389/fmicb.2018.00703" TargetMode="External"/><Relationship Id="rId28" Type="http://schemas.openxmlformats.org/officeDocument/2006/relationships/hyperlink" Target="https://doi.org/10.3389/fpls.2022.1036258" TargetMode="External"/><Relationship Id="rId29" Type="http://schemas.openxmlformats.org/officeDocument/2006/relationships/hyperlink" Target="https://doi.org/10.1371/journal.pone.0096081" TargetMode="External"/><Relationship Id="rId30" Type="http://schemas.openxmlformats.org/officeDocument/2006/relationships/hyperlink" Target="https://doi.org/10.1111/nph.12403" TargetMode="External"/><Relationship Id="rId31" Type="http://schemas.openxmlformats.org/officeDocument/2006/relationships/hyperlink" Target="https://doi.org/10.1007/s11104-012-1278-4" TargetMode="External"/><Relationship Id="rId32" Type="http://schemas.openxmlformats.org/officeDocument/2006/relationships/hyperlink" Target="https://doi.org/10.1371/journal.pone.0056329" TargetMode="External"/><Relationship Id="rId33" Type="http://schemas.openxmlformats.org/officeDocument/2006/relationships/hyperlink" Target="https://doi.org/10.1080/00318884.2018.1541270" TargetMode="External"/><Relationship Id="rId34" Type="http://schemas.openxmlformats.org/officeDocument/2006/relationships/hyperlink" Target="https://doi.org/10.1186/1471-2105-10-421" TargetMode="External"/><Relationship Id="rId35" Type="http://schemas.openxmlformats.org/officeDocument/2006/relationships/hyperlink" Target="https://doi.org/10.1007/s10661-024-12568-4" TargetMode="External"/><Relationship Id="rId36" Type="http://schemas.openxmlformats.org/officeDocument/2006/relationships/hyperlink" Target="https://doi.org/10.1038/s41396-021-01136-0" TargetMode="External"/><Relationship Id="rId37" Type="http://schemas.openxmlformats.org/officeDocument/2006/relationships/hyperlink" Target="https://doi.org/10.1007/s10021-009-9290-0" TargetMode="External"/><Relationship Id="rId38" Type="http://schemas.openxmlformats.org/officeDocument/2006/relationships/hyperlink" Target="https://doi.org/10.1038/nature01051" TargetMode="External"/><Relationship Id="rId39" Type="http://schemas.openxmlformats.org/officeDocument/2006/relationships/hyperlink" Target="https://doi.org/10.1128/AEM.02067-06" TargetMode="External"/><Relationship Id="rId40" Type="http://schemas.openxmlformats.org/officeDocument/2006/relationships/hyperlink" Target="https://doi.org/10.1111/j.0022-3646.1995.00002.x" TargetMode="External"/><Relationship Id="rId41" Type="http://schemas.openxmlformats.org/officeDocument/2006/relationships/hyperlink" Target="https://doi.org/10.3390/molecules25102393" TargetMode="External"/><Relationship Id="rId42" Type="http://schemas.openxmlformats.org/officeDocument/2006/relationships/hyperlink" Target="https://doi.org/10.1371/journal.pcbi.1002195" TargetMode="External"/><Relationship Id="rId43" Type="http://schemas.openxmlformats.org/officeDocument/2006/relationships/hyperlink" Target="https://doi.org/10.1038/s41467-022-34630-w" TargetMode="External"/><Relationship Id="rId44" Type="http://schemas.openxmlformats.org/officeDocument/2006/relationships/hyperlink" Target="https://doi.org/10.1016/j.ecolind.2021.108527" TargetMode="External"/><Relationship Id="rId45" Type="http://schemas.openxmlformats.org/officeDocument/2006/relationships/hyperlink" Target="https://doi.org/10.1007/s00248-013-0223-2" TargetMode="External"/><Relationship Id="rId46" Type="http://schemas.openxmlformats.org/officeDocument/2006/relationships/hyperlink" Target="https://doi.org/10.3390/plants12010222" TargetMode="External"/><Relationship Id="rId47" Type="http://schemas.openxmlformats.org/officeDocument/2006/relationships/hyperlink" Target="https://doi.org/10.1186/s40168-018-0534-0" TargetMode="External"/><Relationship Id="rId48" Type="http://schemas.openxmlformats.org/officeDocument/2006/relationships/hyperlink" Target="https://doi.org/10.1093/jxb/eri309" TargetMode="External"/><Relationship Id="rId49" Type="http://schemas.openxmlformats.org/officeDocument/2006/relationships/hyperlink" Target="https://doi.org/10.1111/1462-2920.16555" TargetMode="External"/><Relationship Id="rId50" Type="http://schemas.openxmlformats.org/officeDocument/2006/relationships/hyperlink" Target="https://doi.org/10.5507/fot.2013.016" TargetMode="External"/><Relationship Id="rId51" Type="http://schemas.openxmlformats.org/officeDocument/2006/relationships/hyperlink" Target="https://doi.org/10.1016/j.soilbio.2023.109261" TargetMode="External"/><Relationship Id="rId52" Type="http://schemas.openxmlformats.org/officeDocument/2006/relationships/hyperlink" Target="https://doi.org/10.1111/j.1469-8137.2011.03809.x" TargetMode="External"/><Relationship Id="rId53" Type="http://schemas.openxmlformats.org/officeDocument/2006/relationships/hyperlink" Target="https://doi.org/10.1093/nar/gks808" TargetMode="External"/><Relationship Id="rId54" Type="http://schemas.openxmlformats.org/officeDocument/2006/relationships/hyperlink" Target="https://doi.org/10.3390/microorganisms9081662" TargetMode="External"/><Relationship Id="rId55" Type="http://schemas.openxmlformats.org/officeDocument/2006/relationships/hyperlink" Target="https://doi.org/10.1007/s00442-023-05334-9" TargetMode="External"/><Relationship Id="rId56" Type="http://schemas.openxmlformats.org/officeDocument/2006/relationships/hyperlink" Target="https://doi.org/10.1111/jpy.13335" TargetMode="External"/><Relationship Id="rId57" Type="http://schemas.openxmlformats.org/officeDocument/2006/relationships/hyperlink" Target="https://doi.org/10.1016/j.xinn.2024.100657" TargetMode="External"/><Relationship Id="rId58" Type="http://schemas.openxmlformats.org/officeDocument/2006/relationships/hyperlink" Target="https://doi.org/10.1111/gcb.12175" TargetMode="External"/><Relationship Id="rId59" Type="http://schemas.openxmlformats.org/officeDocument/2006/relationships/hyperlink" Target="https://doi.org/10.1007/s11104-010-0678-6" TargetMode="External"/><Relationship Id="rId60" Type="http://schemas.openxmlformats.org/officeDocument/2006/relationships/hyperlink" Target="https://doi.org/10.1093/nar/gkh293" TargetMode="External"/><Relationship Id="rId61" Type="http://schemas.openxmlformats.org/officeDocument/2006/relationships/hyperlink" Target="https://doi.org/10.1016/j.isci.2025.113827" TargetMode="External"/><Relationship Id="rId62" Type="http://schemas.openxmlformats.org/officeDocument/2006/relationships/hyperlink" Target="https://doi.org/10.2323/jgam.52.365" TargetMode="External"/><Relationship Id="rId63" Type="http://schemas.openxmlformats.org/officeDocument/2006/relationships/hyperlink" Target="https://doi.org/10.1007/s002489900110" TargetMode="External"/><Relationship Id="rId64" Type="http://schemas.openxmlformats.org/officeDocument/2006/relationships/hyperlink" Target="https://doi.org/10.1007/s00294-011-0364-0" TargetMode="External"/><Relationship Id="rId65" Type="http://schemas.openxmlformats.org/officeDocument/2006/relationships/hyperlink" Target="https://doi.org/10.1111/1365-2435.14088" TargetMode="External"/><Relationship Id="rId66" Type="http://schemas.openxmlformats.org/officeDocument/2006/relationships/hyperlink" Target="https://doi.org/10.1515/limre-2017-0009" TargetMode="External"/><Relationship Id="rId67" Type="http://schemas.openxmlformats.org/officeDocument/2006/relationships/hyperlink" Target="https://doi.org/10.1371/journal.pone.0009490" TargetMode="External"/><Relationship Id="rId68" Type="http://schemas.openxmlformats.org/officeDocument/2006/relationships/hyperlink" Target="https://doi.org/10.1093/nar/gks1219" TargetMode="External"/><Relationship Id="rId69" Type="http://schemas.openxmlformats.org/officeDocument/2006/relationships/hyperlink" Target="https://doi.org/10.1371/journal.pone.0011486" TargetMode="External"/><Relationship Id="rId70" Type="http://schemas.openxmlformats.org/officeDocument/2006/relationships/hyperlink" Target="https://doi.org/10.1111/1365-2745.13881" TargetMode="External"/><Relationship Id="rId71" Type="http://schemas.openxmlformats.org/officeDocument/2006/relationships/hyperlink" Target="https://doi.org/10.1099/00221287-111-1-1" TargetMode="External"/><Relationship Id="rId72" Type="http://schemas.openxmlformats.org/officeDocument/2006/relationships/hyperlink" Target="https://doi.org/10.3389/fpls.2012.00166" TargetMode="External"/><Relationship Id="rId73" Type="http://schemas.openxmlformats.org/officeDocument/2006/relationships/hyperlink" Target="https://doi.org/10.1111/j.1469-8137.2009.02773.x" TargetMode="External"/><Relationship Id="rId74" Type="http://schemas.openxmlformats.org/officeDocument/2006/relationships/hyperlink" Target="https://doi.org/10.7717/peerj.2584" TargetMode="External"/><Relationship Id="rId75" Type="http://schemas.openxmlformats.org/officeDocument/2006/relationships/hyperlink" Target="https://doi.org/10.1111/nph.18264" TargetMode="External"/><Relationship Id="rId76" Type="http://schemas.openxmlformats.org/officeDocument/2006/relationships/hyperlink" Target="https://doi.org/10.1111/gcb.13418" TargetMode="External"/><Relationship Id="rId77" Type="http://schemas.openxmlformats.org/officeDocument/2006/relationships/hyperlink" Target="https://doi.org/10.1007/s00248-014-0534-y" TargetMode="External"/><Relationship Id="rId78" Type="http://schemas.openxmlformats.org/officeDocument/2006/relationships/hyperlink" Target="https://doi.org/10.1186/s40168-020-00859-0" TargetMode="External"/><Relationship Id="rId79" Type="http://schemas.openxmlformats.org/officeDocument/2006/relationships/hyperlink" Target="https://doi.org/10.1111/nph.12449" TargetMode="External"/><Relationship Id="rId80" Type="http://schemas.openxmlformats.org/officeDocument/2006/relationships/hyperlink" Target="https://doi.org/10.1111/jpy.13304" TargetMode="External"/><Relationship Id="rId81" Type="http://schemas.openxmlformats.org/officeDocument/2006/relationships/hyperlink" Target="https://doi.org/10.1038/s41396-020-00738-4" TargetMode="External"/><Relationship Id="rId82" Type="http://schemas.openxmlformats.org/officeDocument/2006/relationships/hyperlink" Target="https://doi.org/10.1128/AEM.01282-13" TargetMode="External"/><Relationship Id="rId83" Type="http://schemas.openxmlformats.org/officeDocument/2006/relationships/hyperlink" Target="https://doi.org/10.1111/mec.16460" TargetMode="External"/><Relationship Id="rId84" Type="http://schemas.openxmlformats.org/officeDocument/2006/relationships/hyperlink" Target="https://doi.org/10.1007/s13225-021-00493-7" TargetMode="External"/><Relationship Id="rId85" Type="http://schemas.openxmlformats.org/officeDocument/2006/relationships/hyperlink" Target="https://doi.org/10.1128/jb.175.19.6276-6286.1993" TargetMode="External"/><Relationship Id="rId86" Type="http://schemas.openxmlformats.org/officeDocument/2006/relationships/hyperlink" Target="https://doi.org/10.1073/pnas.92.20.9358" TargetMode="External"/><Relationship Id="rId87" Type="http://schemas.openxmlformats.org/officeDocument/2006/relationships/hyperlink" Target="https://doi.org/10.3389/fmicb.2019.00292" TargetMode="External"/><Relationship Id="rId88" Type="http://schemas.openxmlformats.org/officeDocument/2006/relationships/hyperlink" Target="https://doi.org/10.1111/tpj.12299" TargetMode="External"/><Relationship Id="rId89" Type="http://schemas.openxmlformats.org/officeDocument/2006/relationships/hyperlink" Target="https://doi.org/10.7717/peerj.12983" TargetMode="External"/><Relationship Id="rId90" Type="http://schemas.openxmlformats.org/officeDocument/2006/relationships/hyperlink" Target="https://doi.org/10.1038/s41598-020-79773-2" TargetMode="External"/><Relationship Id="rId91" Type="http://schemas.openxmlformats.org/officeDocument/2006/relationships/hyperlink" Target="https://doi.org/10.1007/s00248-010-9698-2" TargetMode="External"/><Relationship Id="rId92" Type="http://schemas.openxmlformats.org/officeDocument/2006/relationships/hyperlink" Target="https://doi.org/10.1038/ismej.2016.17" TargetMode="External"/><Relationship Id="rId93" Type="http://schemas.openxmlformats.org/officeDocument/2006/relationships/hyperlink" Target="https://doi.org/10.1007/s10811-015-0774-3" TargetMode="External"/><Relationship Id="rId94" Type="http://schemas.openxmlformats.org/officeDocument/2006/relationships/hyperlink" Target="https://doi.org/10.1046/j.1462-2920.2003.00451.x" TargetMode="External"/><Relationship Id="rId95" Type="http://schemas.openxmlformats.org/officeDocument/2006/relationships/header" Target="header1.xml"/><Relationship Id="rId96" Type="http://schemas.openxmlformats.org/officeDocument/2006/relationships/footer" Target="footer1.xml"/><Relationship Id="rId97" Type="http://schemas.openxmlformats.org/officeDocument/2006/relationships/numbering" Target="numbering.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6206</TotalTime>
  <Application>LibreOffice/24.2.7.2$Linux_X86_64 LibreOffice_project/420$Build-2</Application>
  <AppVersion>15.0000</AppVersion>
  <Pages>30</Pages>
  <Words>10115</Words>
  <Characters>62980</Characters>
  <CharactersWithSpaces>72880</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2025-11-20T13:16:00Z</dcterms:created>
  <dc:creator/>
  <dc:description/>
  <dc:language>en-US</dc:language>
  <cp:lastModifiedBy/>
  <dcterms:modified xsi:type="dcterms:W3CDTF">2026-06-18T15:04:52Z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