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Independent Software Support System Product Design</w:t>
      </w:r>
    </w:p>
    <w:p>
      <w:pPr>
        <w:spacing w:after="240"/>
      </w:pPr>
      <w:r>
        <w:rPr>
          <w:b/>
          <w:color w:val="37414B"/>
          <w:sz w:val="24"/>
        </w:rPr>
        <w:t>A shared product for voluntary financial support across independently published software</w:t>
      </w:r>
    </w:p>
    <w:p>
      <w:pPr>
        <w:spacing w:after="360"/>
      </w:pPr>
      <w:r>
        <w:t>Owner: Dan Cockrell</w:t>
        <w:br/>
        <w:t>Status: Product design baseline</w:t>
        <w:br/>
        <w:t>Date: 4 September 2026</w:t>
      </w:r>
    </w:p>
    <w:p>
      <w:pPr>
        <w:pStyle w:val="Heading1"/>
      </w:pPr>
      <w:r>
        <w:t>Product decision</w:t>
      </w:r>
    </w:p>
    <w:p>
      <w:r>
        <w:t>This system is the primary way I will invite people to pay for software that I also make available free of charge. It belongs to my software business. Games, DR Companion, the auto grader, the book reader, and later products integrate with it as clients. No single application owns the business rules, payment language, pricing logic, measurement definitions, or support history.</w:t>
      </w:r>
    </w:p>
    <w:p>
      <w:r>
        <w:t>The system asks after it can state, with numbers, what a person has used or completed. It then offers contribution amounts expressed as a dated United States reference price for familiar McDonald's food. The food comparison communicates that the contribution is personal income used for ordinary living expenses, including food. It is not a claim of charitable status and does not imply an affiliation with McDonald's.</w:t>
      </w:r>
    </w:p>
    <w:p>
      <w:pPr>
        <w:pStyle w:val="Heading1"/>
      </w:pPr>
      <w:r>
        <w:t>Business objective</w:t>
      </w:r>
    </w:p>
    <w:p>
      <w:r>
        <w:t>The system must turn demonstrated product value into voluntary payment while protecting the conditions that make the request credible. The complete software remains available without payment. A contribution does not unlock functionality, improve treatment, or remove an artificial inconvenience.</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59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Objective</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How it is measured</w:t>
            </w:r>
          </w:p>
        </w:tc>
        <w:tc>
          <w:tcPr>
            <w:tcW w:type="dxa" w:w="331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Constraint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Increase completed contributions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Confirmed payments divided by eligible support presentations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checkout opening is not a payment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Increase expected revenue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Confirmed contribution value divided by eligible support presentations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Report currency and time period</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Preserve trust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Dismissals, permanent opt outs, complaints, and repeat voluntary visits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No obstructed decline path</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Work across products</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Number of real product integrations using the canonical package</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No copied product specific implementations</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Tell the truth</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Every displayed fact resolves to recorded data or a disclosed calculation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Unknown values are omitted</w:t>
            </w:r>
          </w:p>
        </w:tc>
      </w:tr>
    </w:tbl>
    <w:p>
      <w:pPr>
        <w:spacing w:after="20"/>
      </w:pPr>
    </w:p>
    <w:p>
      <w:pPr>
        <w:pStyle w:val="Heading1"/>
      </w:pPr>
      <w:r>
        <w:t>Human exchange</w:t>
      </w:r>
    </w:p>
    <w:p>
      <w:r>
        <w:t>The payment request connects the software to a meal for the person who made it. The comparison is concrete because a payer can understand buying another person food. The system does not use food as a decorative theme, a loyalty reward, or a vague purchasing power analogy. It identifies what the contribution can buy for me.</w:t>
      </w:r>
    </w:p>
    <w:p>
      <w:r>
        <w:t>The fry calculation creates a low stakes way to enter the page and demonstrates that even the smallest unit has a real value. It must not conceal the amount charged. Opening a wallet is the principal act of commitment, so the primary checkout asks for a useful contribution tied to a recognizable meal. The exact amount comes from a documented United States price study performed on a stated date; this design does not assign a nominal ten dollar price or any other invented price.</w:t>
      </w:r>
    </w:p>
    <w:p>
      <w:pPr>
        <w:pStyle w:val="Heading1"/>
      </w:pPr>
      <w:r>
        <w:t>User promise</w:t>
      </w:r>
    </w:p>
    <w:p>
      <w:pPr>
        <w:pStyle w:val="ListBullet"/>
        <w:spacing w:after="60"/>
      </w:pPr>
      <w:r>
        <w:t>The software is complete and usable without contributing.</w:t>
      </w:r>
    </w:p>
    <w:p>
      <w:pPr>
        <w:pStyle w:val="ListBullet"/>
        <w:spacing w:after="60"/>
      </w:pPr>
      <w:r>
        <w:t>The page explains what the user did with the product using recorded numbers and facts.</w:t>
      </w:r>
    </w:p>
    <w:p>
      <w:pPr>
        <w:pStyle w:val="ListBullet"/>
        <w:spacing w:after="60"/>
      </w:pPr>
      <w:r>
        <w:t>Contribution amounts and currency are visible before checkout.</w:t>
      </w:r>
    </w:p>
    <w:p>
      <w:pPr>
        <w:pStyle w:val="ListBullet"/>
        <w:spacing w:after="60"/>
      </w:pPr>
      <w:r>
        <w:t>The page explains that contributions are personal income used for ordinary living expenses.</w:t>
      </w:r>
    </w:p>
    <w:p>
      <w:pPr>
        <w:pStyle w:val="ListBullet"/>
        <w:spacing w:after="60"/>
      </w:pPr>
      <w:r>
        <w:t>The user can decline immediately and can disable automatic presentations.</w:t>
      </w:r>
    </w:p>
    <w:p>
      <w:pPr>
        <w:pStyle w:val="ListBullet"/>
        <w:spacing w:after="60"/>
      </w:pPr>
      <w:r>
        <w:t>Usage facts remain on the device unless a separate, explicit analytics decision is approved.</w:t>
      </w:r>
    </w:p>
    <w:p>
      <w:pPr>
        <w:pStyle w:val="ListBullet"/>
        <w:spacing w:after="60"/>
      </w:pPr>
      <w:r>
        <w:t>The system never claims that a contribution is charitable or tax deductible unless the legal business structure later makes that statement true.</w:t>
      </w:r>
    </w:p>
    <w:p>
      <w:pPr>
        <w:pStyle w:val="Heading1"/>
      </w:pPr>
      <w:r>
        <w:t>The support moment</w:t>
      </w:r>
    </w:p>
    <w:p>
      <w:r>
        <w:t>An application may make a person eligible after it has recorded enough evidence to describe substantial use. Eligibility does not itself open the page. The host application proposes a safe moment after a completed activity. The shared policy decides whether an automatic presentation is allowed.</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State</w:t>
            </w:r>
          </w:p>
        </w:tc>
        <w:tc>
          <w:tcPr>
            <w:tcW w:type="dxa" w:w="70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Required behavior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Not yet eligible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manual support page may exist, but no automatic request appears.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Eligible but busy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Wait. Do not interrupt work, play, reading, grading, saving, checkout, recovery, or an error.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Eligible at a completed activity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The host may propose a support presentation.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Recently dismissed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Respect the configured cooldown and do not intensify the message.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Automatic requests disabled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Never present automatically. Keep a manual Support entry.</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Paid edition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Thank the purchaser. Automatic requests are disabled by default.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confirmed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the confirmed amount and a short thank you, then return to the product.</w:t>
            </w:r>
          </w:p>
        </w:tc>
      </w:tr>
    </w:tbl>
    <w:p>
      <w:pPr>
        <w:spacing w:after="20"/>
      </w:pPr>
    </w:p>
    <w:p>
      <w:pPr>
        <w:pStyle w:val="Heading1"/>
      </w:pPr>
      <w:r>
        <w:t>Initial page structure</w:t>
      </w:r>
    </w:p>
    <w:p>
      <w:pPr>
        <w:spacing w:after="80"/>
        <w:ind w:left="360" w:hanging="360"/>
      </w:pPr>
      <w:r>
        <w:rPr>
          <w:b/>
        </w:rPr>
        <w:t xml:space="preserve">1. </w:t>
      </w:r>
      <w:r>
        <w:t>Name the product and show verified use totals.</w:t>
      </w:r>
    </w:p>
    <w:p>
      <w:pPr>
        <w:spacing w:after="80"/>
        <w:ind w:left="360" w:hanging="360"/>
      </w:pPr>
      <w:r>
        <w:rPr>
          <w:b/>
        </w:rPr>
        <w:t xml:space="preserve">2. </w:t>
      </w:r>
      <w:r>
        <w:t>Show a compact facts section generated from product supplied metrics.</w:t>
      </w:r>
    </w:p>
    <w:p>
      <w:pPr>
        <w:spacing w:after="80"/>
        <w:ind w:left="360" w:hanging="360"/>
      </w:pPr>
      <w:r>
        <w:rPr>
          <w:b/>
        </w:rPr>
        <w:t xml:space="preserve">3. </w:t>
      </w:r>
      <w:r>
        <w:t>Explain that the software is free and that contributions help pay ordinary living expenses.</w:t>
      </w:r>
    </w:p>
    <w:p>
      <w:pPr>
        <w:spacing w:after="80"/>
        <w:ind w:left="360" w:hanging="360"/>
      </w:pPr>
      <w:r>
        <w:rPr>
          <w:b/>
        </w:rPr>
        <w:t xml:space="preserve">4. </w:t>
      </w:r>
      <w:r>
        <w:t>Show the United States price study date and methodology disclosure.</w:t>
      </w:r>
    </w:p>
    <w:p>
      <w:pPr>
        <w:spacing w:after="80"/>
        <w:ind w:left="360" w:hanging="360"/>
      </w:pPr>
      <w:r>
        <w:rPr>
          <w:b/>
        </w:rPr>
        <w:t xml:space="preserve">5. </w:t>
      </w:r>
      <w:r>
        <w:t>Present the recommended full meal contribution with its exact amount.</w:t>
      </w:r>
    </w:p>
    <w:p>
      <w:pPr>
        <w:spacing w:after="80"/>
        <w:ind w:left="360" w:hanging="360"/>
      </w:pPr>
      <w:r>
        <w:rPr>
          <w:b/>
        </w:rPr>
        <w:t xml:space="preserve">6. </w:t>
      </w:r>
      <w:r>
        <w:t>Present smaller food based amounts without hiding their exact values.</w:t>
      </w:r>
    </w:p>
    <w:p>
      <w:pPr>
        <w:spacing w:after="80"/>
        <w:ind w:left="360" w:hanging="360"/>
      </w:pPr>
      <w:r>
        <w:rPr>
          <w:b/>
        </w:rPr>
        <w:t xml:space="preserve">7. </w:t>
      </w:r>
      <w:r>
        <w:t>Provide the fry calculation with visible inputs and units.</w:t>
      </w:r>
    </w:p>
    <w:p>
      <w:pPr>
        <w:spacing w:after="80"/>
        <w:ind w:left="360" w:hanging="360"/>
      </w:pPr>
      <w:r>
        <w:rPr>
          <w:b/>
        </w:rPr>
        <w:t xml:space="preserve">8. </w:t>
      </w:r>
      <w:r>
        <w:t>Provide a custom amount, a normal decline action, and a permanent automatic opt out.</w:t>
      </w:r>
    </w:p>
    <w:p>
      <w:pPr>
        <w:spacing w:after="80"/>
        <w:ind w:left="360" w:hanging="360"/>
      </w:pPr>
      <w:r>
        <w:rPr>
          <w:b/>
        </w:rPr>
        <w:t xml:space="preserve">9. </w:t>
      </w:r>
      <w:r>
        <w:t>State the local usage data, dated price study, payment, and trademark qualifications.</w:t>
      </w:r>
    </w:p>
    <w:p>
      <w:pPr>
        <w:pStyle w:val="Heading1"/>
      </w:pPr>
      <w:r>
        <w:t>Facts section</w:t>
      </w:r>
    </w:p>
    <w:p>
      <w:r>
        <w:t>The phrase During this time is not followed by generated atmosphere or an inferred narrative. It introduces a compact set of numeric facts supplied by the product, including hours and counts of completed work or objectives by meaningful type. The shared system formats them but does not invent, estimate, or embellish them.</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01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Product</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Candidate facts</w:t>
            </w:r>
          </w:p>
        </w:tc>
        <w:tc>
          <w:tcPr>
            <w:tcW w:type="dxa" w:w="38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Facts excluded without evidence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Pirate Island</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Active play time; completed sessions; objectives completed by type; campaigns completed; factions eliminated; locations captured; dungeons cleared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Emotional impact, difficulty, importance, or events not present in the save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DR Companion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Connected time; completed connected sessions; routes, tasks, or other defined actions completed by type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Time with the shell open, inferred enjoyment, or private game text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Auto grader</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Active work time; grading sessions completed; submissions processed; grading actions completed by type; reports exported</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Hours saved unless a measured baseline exists; student content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Book reader</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Active reading or listening time; sessions completed; works completed; pages or locations advanced; reader actions completed by type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Comprehension, attention, benefit, or private reading content</w:t>
            </w:r>
          </w:p>
        </w:tc>
      </w:tr>
    </w:tbl>
    <w:p>
      <w:pPr>
        <w:spacing w:after="20"/>
      </w:pPr>
    </w:p>
    <w:p>
      <w:r>
        <w:t>Each product approves its own fact definitions before release. A field with unknown, partial, or disputed semantics is omitted. Zero may be displayed when zero is meaningful and verified; missing data must not be converted to zero.</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180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Value receipt order</w:t>
            </w:r>
          </w:p>
        </w:tc>
        <w:tc>
          <w:tcPr>
            <w:tcW w:type="dxa" w:w="381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Displayed fact</w:t>
            </w:r>
          </w:p>
        </w:tc>
        <w:tc>
          <w:tcPr>
            <w:tcW w:type="dxa" w:w="432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Evidence rule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1</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Active time and measurement coverage dates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Derived from eligible active intervals; identify partial coverage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2</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Meaningful sessions completed</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Count only sessions that meet the product's approved completion rule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3</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Completed work or objectives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the total and a reconciliation by approved type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4</w:t>
            </w:r>
          </w:p>
        </w:tc>
        <w:tc>
          <w:tcPr>
            <w:tcW w:type="dxa" w:w="38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Additional product-specific outcomes</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Display only stored, reproducible events with stable definitions</w:t>
            </w:r>
          </w:p>
        </w:tc>
      </w:tr>
    </w:tbl>
    <w:p>
      <w:pPr>
        <w:spacing w:after="20"/>
      </w:pPr>
    </w:p>
    <w:p>
      <w:r>
        <w:t>This value receipt precedes the request for money. Its purpose is to substantiate what the software has actually done with the user, not to assign an invented cash value to the user's time or outcomes.</w:t>
      </w:r>
    </w:p>
    <w:p>
      <w:pPr>
        <w:pStyle w:val="Heading1"/>
      </w:pPr>
      <w:r>
        <w:t>Contribution choices</w:t>
      </w:r>
    </w:p>
    <w:p>
      <w:r>
        <w:t>The food scale gives the user concrete reference points. The first release supports the following canonical choices. Availability in the defined United States study may require a clearly named equivalent or omission.</w:t>
      </w:r>
    </w:p>
    <w:tbl>
      <w:tblPr>
        <w:tblStyle w:val="TableGrid"/>
        <w:tblW w:type="auto" w:w="0"/>
        <w:tblLayout w:type="fixed"/>
        <w:tblLook w:firstColumn="1" w:firstRow="1" w:lastColumn="0" w:lastRow="0" w:noHBand="0" w:noVBand="1" w:val="04A0"/>
      </w:tblPr>
      <w:tblGrid>
        <w:gridCol w:w="2484"/>
        <w:gridCol w:w="2484"/>
        <w:gridCol w:w="2484"/>
        <w:gridCol w:w="2484"/>
      </w:tblGrid>
      <w:tr>
        <w:trPr>
          <w:tblHeader w:val="true"/>
        </w:trPr>
        <w:tc>
          <w:tcPr>
            <w:tcW w:type="dxa" w:w="20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Choice</w:t>
            </w:r>
          </w:p>
        </w:tc>
        <w:tc>
          <w:tcPr>
            <w:tcW w:type="dxa" w:w="295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Purpose</w:t>
            </w:r>
          </w:p>
        </w:tc>
        <w:tc>
          <w:tcPr>
            <w:tcW w:type="dxa" w:w="324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Price rule</w:t>
            </w:r>
          </w:p>
        </w:tc>
        <w:tc>
          <w:tcPr>
            <w:tcW w:type="dxa" w:w="180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Presentation</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One french fry</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Smallest conceptual unit, transparent calculation, and entry into the support decision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Derived from a matching fries price, serving mass, and estimated fry mass</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the math; never conceal the actual checkout amount</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Ice cream cone</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Low contribution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Dated United States reference price or omitted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Secondary choice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Hamburger without cheese</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Modest contribution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Dated United States reference price or omitted</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Secondary choice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Kid's meal</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Midrange contribution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Dated United States reference price using a defined product</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Expanded choice</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Quarter Pounder with Cheese meal</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Recommended full meal contribution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Dated United States reference price using a defined meal</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Primary choice with sincere thanks</w:t>
            </w:r>
          </w:p>
        </w:tc>
      </w:tr>
      <w:tr>
        <w:tc>
          <w:tcPr>
            <w:tcW w:type="dxa" w:w="20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Custom amount</w:t>
            </w:r>
          </w:p>
        </w:tc>
        <w:tc>
          <w:tcPr>
            <w:tcW w:type="dxa" w:w="295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User controlled contribution</w:t>
            </w:r>
          </w:p>
        </w:tc>
        <w:tc>
          <w:tcPr>
            <w:tcW w:type="dxa" w:w="324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Entered explicitly and validated by the payment provider</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Always available</w:t>
            </w:r>
          </w:p>
        </w:tc>
      </w:tr>
    </w:tbl>
    <w:p>
      <w:pPr>
        <w:spacing w:after="20"/>
      </w:pPr>
    </w:p>
    <w:p>
      <w:pPr>
        <w:pStyle w:val="Heading1"/>
      </w:pPr>
      <w:r>
        <w:t>Fry calculation</w:t>
      </w:r>
    </w:p>
    <w:p>
      <w:r>
        <w:t>The system calculates the estimated value of one fry from mass. The price and serving mass must describe the same product size in the same market. The estimated fry mass must identify its method and sample.</w:t>
      </w:r>
    </w:p>
    <w:p>
      <w:pPr>
        <w:jc w:val="center"/>
      </w:pPr>
      <w:r>
        <w:rPr>
          <w:b/>
          <w:sz w:val="24"/>
        </w:rPr>
        <w:t>estimated fry value = serving price x estimated fry mass / serving mass</w:t>
      </w:r>
    </w:p>
    <w:p>
      <w:r>
        <w:t>The expanded row shows the substituted values, units, unrounded result, currency rounding, data dates, and source labels. The 4 September 2026 provisional release uses a $3.56 national medium-fries reference, a published 112 gram average serving mass, and a published average count of 78 fries. This gives an estimated mass of 1.435897 grams per fry and an unrounded value of $0.045641, displayed as about $0.05. If any required input is unavailable or stale, the fry option is unavailable rather than fabricated.</w:t>
      </w:r>
    </w:p>
    <w:p>
      <w:pPr>
        <w:pStyle w:val="Heading1"/>
      </w:pPr>
      <w:r>
        <w:t>United States reference pricing</w:t>
      </w:r>
    </w:p>
    <w:p>
      <w:r>
        <w:t>The first release uses a United States reference price observed on a named date. It does not request or infer the user's location. The page defines what average means, identifies the restaurants and ordering channel included in the study, reports the sample size, and retains the observations used to calculate the result.</w:t>
      </w:r>
    </w:p>
    <w:p>
      <w:pPr>
        <w:spacing w:after="80"/>
        <w:ind w:left="360" w:hanging="360"/>
      </w:pPr>
      <w:r>
        <w:rPr>
          <w:b/>
        </w:rPr>
        <w:t xml:space="preserve">1. </w:t>
      </w:r>
      <w:r>
        <w:t>Define the population and the sampling frame for United States restaurant prices.</w:t>
      </w:r>
    </w:p>
    <w:p>
      <w:pPr>
        <w:spacing w:after="80"/>
        <w:ind w:left="360" w:hanging="360"/>
      </w:pPr>
      <w:r>
        <w:rPr>
          <w:b/>
        </w:rPr>
        <w:t xml:space="preserve">2. </w:t>
      </w:r>
      <w:r>
        <w:t>Define the restaurant channel, product configuration, tax treatment, and observation window.</w:t>
      </w:r>
    </w:p>
    <w:p>
      <w:pPr>
        <w:spacing w:after="80"/>
        <w:ind w:left="360" w:hanging="360"/>
      </w:pPr>
      <w:r>
        <w:rPr>
          <w:b/>
        </w:rPr>
        <w:t xml:space="preserve">3. </w:t>
      </w:r>
      <w:r>
        <w:t>Collect attributable observations on the stated date or during a disclosed date range.</w:t>
      </w:r>
    </w:p>
    <w:p>
      <w:pPr>
        <w:spacing w:after="80"/>
        <w:ind w:left="360" w:hanging="360"/>
      </w:pPr>
      <w:r>
        <w:rPr>
          <w:b/>
        </w:rPr>
        <w:t xml:space="preserve">4. </w:t>
      </w:r>
      <w:r>
        <w:t>Publish the sample size, missing observations, arithmetic mean, median, minimum, and maximum.</w:t>
      </w:r>
    </w:p>
    <w:p>
      <w:pPr>
        <w:spacing w:after="80"/>
        <w:ind w:left="360" w:hanging="360"/>
      </w:pPr>
      <w:r>
        <w:rPr>
          <w:b/>
        </w:rPr>
        <w:t xml:space="preserve">5. </w:t>
      </w:r>
      <w:r>
        <w:t>Use the arithmetic mean as the displayed average only when the methodology approves it.</w:t>
      </w:r>
    </w:p>
    <w:p>
      <w:pPr>
        <w:spacing w:after="80"/>
        <w:ind w:left="360" w:hanging="360"/>
      </w:pPr>
      <w:r>
        <w:rPr>
          <w:b/>
        </w:rPr>
        <w:t xml:space="preserve">6. </w:t>
      </w:r>
      <w:r>
        <w:t>Store the underlying evidence and the exact calculation with the released price table.</w:t>
      </w:r>
    </w:p>
    <w:p>
      <w:pPr>
        <w:spacing w:after="80"/>
        <w:ind w:left="360" w:hanging="360"/>
      </w:pPr>
      <w:r>
        <w:rPr>
          <w:b/>
        </w:rPr>
        <w:t xml:space="preserve">7. </w:t>
      </w:r>
      <w:r>
        <w:t>Display the observation date beside the amount and stop calling an old study current.</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Food reference</w:t>
            </w:r>
          </w:p>
        </w:tc>
        <w:tc>
          <w:tcPr>
            <w:tcW w:type="dxa" w:w="22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Published amount</w:t>
            </w:r>
          </w:p>
        </w:tc>
        <w:tc>
          <w:tcPr>
            <w:tcW w:type="dxa" w:w="4824"/>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Coverage and source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One french fry</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$0.05 displayed; $0.045641 unrounded</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Derived from a $3.56 medium-fries mean across 13,595 reported U.S. locations and a separate 10-order mass-and-count experiment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Vanilla cone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$2.31</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MenuPriceTracker mean across 13,503 reported U.S. locations; updated 28 August 2026</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Hamburger without cheese</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$2.89</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MenuPriceToday delivery-platform aggregate across about 472 U.S. locations; September 2026</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Hamburger Happy Meal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$6.19</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MenuPriceToday delivery-platform aggregate across about 472 U.S. locations; September 2026</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Quarter Pounder with Cheese meal</w:t>
            </w:r>
          </w:p>
        </w:tc>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$12.19</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MenuPriceToday delivery-platform aggregate across about 472 U.S. locations; September 2026</w:t>
            </w:r>
          </w:p>
        </w:tc>
      </w:tr>
    </w:tbl>
    <w:p>
      <w:pPr>
        <w:spacing w:after="20"/>
      </w:pPr>
    </w:p>
    <w:p>
      <w:r>
        <w:t>These are independent national references retrieved 4 September 2026, before tax. They are not McDonald's corporate prices or a quote for the user's nearest restaurant. The source channels and samples differ, so the system preserves each row's provenance and does not pool them into a new average.</w:t>
      </w:r>
    </w:p>
    <w:p>
      <w:pPr>
        <w:pStyle w:val="Heading1"/>
      </w:pPr>
      <w:r>
        <w:t>Tone and visual direction</w:t>
      </w:r>
    </w:p>
    <w:p>
      <w:r>
        <w:t>The page looks like part of the software business, not like McDonald's and not like a game reward screen. It uses the host product's typography and layout system. The factual totals receive the strongest typographic emphasis. The recommended contribution is clear but not animated, preselected, or described with unsupported popularity claims.</w:t>
      </w:r>
    </w:p>
    <w:p>
      <w:pPr>
        <w:pStyle w:val="ListBullet"/>
        <w:spacing w:after="60"/>
      </w:pPr>
      <w:r>
        <w:t>Use plain food names and small neutral icons only when they improve scanning.</w:t>
      </w:r>
    </w:p>
    <w:p>
      <w:pPr>
        <w:pStyle w:val="ListBullet"/>
        <w:spacing w:after="60"/>
      </w:pPr>
      <w:r>
        <w:t>Do not use McDonald's logos, packaging, photography, typography, color system, or trade dress.</w:t>
      </w:r>
    </w:p>
    <w:p>
      <w:pPr>
        <w:pStyle w:val="ListBullet"/>
        <w:spacing w:after="60"/>
      </w:pPr>
      <w:r>
        <w:t>Do not use countdowns, scarcity, guilt, sad characters, blocked exits, or repeated refusals.</w:t>
      </w:r>
    </w:p>
    <w:p>
      <w:pPr>
        <w:pStyle w:val="ListBullet"/>
        <w:spacing w:after="60"/>
      </w:pPr>
      <w:r>
        <w:t>Do not write fictional user stories. Show measured facts.</w:t>
      </w:r>
    </w:p>
    <w:p>
      <w:pPr>
        <w:pStyle w:val="ListBullet"/>
        <w:spacing w:after="60"/>
      </w:pPr>
      <w:r>
        <w:t>Keep Not today visible and keyboard accessible.</w:t>
      </w:r>
    </w:p>
    <w:p>
      <w:pPr>
        <w:pStyle w:val="ListBullet"/>
        <w:spacing w:after="60"/>
      </w:pPr>
      <w:r>
        <w:t>Place detailed methodology and qualifications behind readable disclosure controls, while keeping the exact amount visible.</w:t>
      </w:r>
    </w:p>
    <w:p>
      <w:pPr>
        <w:pStyle w:val="Heading1"/>
      </w:pPr>
      <w:r>
        <w:t>Payment experience</w:t>
      </w:r>
    </w:p>
    <w:p>
      <w:r>
        <w:t>The page separates the amount comparison from the charge. A person may explore the value of one fry, but the checkout action always states the complete amount that will be charged and the food reference that amount can buy according to the dated United States study. A fry interaction may select, expand, or begin composing a contribution. It cannot transform into a meal sized charge without a second, explicit confirmation.</w:t>
      </w:r>
    </w:p>
    <w:p>
      <w:pPr>
        <w:spacing w:after="80"/>
        <w:ind w:left="360" w:hanging="360"/>
      </w:pPr>
      <w:r>
        <w:rPr>
          <w:b/>
        </w:rPr>
        <w:t xml:space="preserve">1. </w:t>
      </w:r>
      <w:r>
        <w:t>The user selects an amount in the product.</w:t>
      </w:r>
    </w:p>
    <w:p>
      <w:pPr>
        <w:spacing w:after="80"/>
        <w:ind w:left="360" w:hanging="360"/>
      </w:pPr>
      <w:r>
        <w:rPr>
          <w:b/>
        </w:rPr>
        <w:t xml:space="preserve">2. </w:t>
      </w:r>
      <w:r>
        <w:t>The product repeats the product name, amount, currency, and payment provider.</w:t>
      </w:r>
    </w:p>
    <w:p>
      <w:pPr>
        <w:spacing w:after="80"/>
        <w:ind w:left="360" w:hanging="360"/>
      </w:pPr>
      <w:r>
        <w:rPr>
          <w:b/>
        </w:rPr>
        <w:t xml:space="preserve">3. </w:t>
      </w:r>
      <w:r>
        <w:t>The provider opens with the amount prefilled when supported.</w:t>
      </w:r>
    </w:p>
    <w:p>
      <w:pPr>
        <w:spacing w:after="80"/>
        <w:ind w:left="360" w:hanging="360"/>
      </w:pPr>
      <w:r>
        <w:rPr>
          <w:b/>
        </w:rPr>
        <w:t xml:space="preserve">4. </w:t>
      </w:r>
      <w:r>
        <w:t>The provider handles payment credentials.</w:t>
      </w:r>
    </w:p>
    <w:p>
      <w:pPr>
        <w:spacing w:after="80"/>
        <w:ind w:left="360" w:hanging="360"/>
      </w:pPr>
      <w:r>
        <w:rPr>
          <w:b/>
        </w:rPr>
        <w:t xml:space="preserve">5. </w:t>
      </w:r>
      <w:r>
        <w:t>Only a verified provider result counts as a completed contribution.</w:t>
      </w:r>
    </w:p>
    <w:p>
      <w:pPr>
        <w:spacing w:after="80"/>
        <w:ind w:left="360" w:hanging="360"/>
      </w:pPr>
      <w:r>
        <w:rPr>
          <w:b/>
        </w:rPr>
        <w:t xml:space="preserve">6. </w:t>
      </w:r>
      <w:r>
        <w:t>Cancellation returns the user to the support page with the selection intact.</w:t>
      </w:r>
    </w:p>
    <w:p>
      <w:pPr>
        <w:spacing w:after="80"/>
        <w:ind w:left="360" w:hanging="360"/>
      </w:pPr>
      <w:r>
        <w:rPr>
          <w:b/>
        </w:rPr>
        <w:t xml:space="preserve">7. </w:t>
      </w:r>
      <w:r>
        <w:t>Confirmation states the amount received or charged according to an approved accounting rule and thanks the user without spectacle.</w:t>
      </w:r>
    </w:p>
    <w:p>
      <w:pPr>
        <w:pStyle w:val="Heading1"/>
      </w:pPr>
      <w:r>
        <w:t>Cross product architecture</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16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Layer</w:t>
            </w:r>
          </w:p>
        </w:tc>
        <w:tc>
          <w:tcPr>
            <w:tcW w:type="dxa" w:w="432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Owns</w:t>
            </w:r>
          </w:p>
        </w:tc>
        <w:tc>
          <w:tcPr>
            <w:tcW w:type="dxa" w:w="331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Does not own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Support core</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Event reduction, active time, eligibility, price-study records, calculation, preferences, fact validation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Product specific activity semantics or visual skin</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Product adapter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Meaningful session, active state, approved metrics, safe presentation moments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credentials or independent support policy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Presentation adapter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Native components, typography, accessibility integration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Different business rules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adapter</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Checkout creation, supported currency, confirmation and cancellation</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Usage history</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Price-study registry</w:t>
            </w:r>
          </w:p>
        </w:tc>
        <w:tc>
          <w:tcPr>
            <w:tcW w:type="dxa" w:w="43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Dated United States observations, item mapping, provenance, statistics and publication status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or product usage data</w:t>
            </w:r>
          </w:p>
        </w:tc>
      </w:tr>
    </w:tbl>
    <w:p>
      <w:pPr>
        <w:spacing w:after="20"/>
      </w:pPr>
    </w:p>
    <w:p>
      <w:pPr>
        <w:pStyle w:val="Heading1"/>
      </w:pPr>
      <w:r>
        <w:t>Failure and recovery</w:t>
      </w:r>
    </w:p>
    <w:tbl>
      <w:tblPr>
        <w:tblStyle w:val="TableGrid"/>
        <w:tblW w:type="auto" w:w="0"/>
        <w:tblLayout w:type="fixed"/>
        <w:tblLook w:firstColumn="1" w:firstRow="1" w:lastColumn="0" w:lastRow="0" w:noHBand="0" w:noVBand="1" w:val="04A0"/>
      </w:tblPr>
      <w:tblGrid>
        <w:gridCol w:w="4968"/>
        <w:gridCol w:w="4968"/>
      </w:tblGrid>
      <w:tr>
        <w:trPr>
          <w:tblHeader w:val="true"/>
        </w:trPr>
        <w:tc>
          <w:tcPr>
            <w:tcW w:type="dxa" w:w="2880"/>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Failure</w:t>
            </w:r>
          </w:p>
        </w:tc>
        <w:tc>
          <w:tcPr>
            <w:tcW w:type="dxa" w:w="705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Required result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Clock changes</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Use monotonic elapsed time within a session and wall clock only for persisted dates.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Application crash</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Recover from the last checkpoint and never add the unknown interval.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Price evidence unavailable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Show the page without a current United States price claim and retain custom contribution.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Menu item unavailable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Omit it or name a disclosed equivalent; do not fabricate a price.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cancelled</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Return without recording payment or punishing the user.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Payment result unknown</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Show a neutral pending state and reconcile through the provider.</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Old or migrated usage history</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Identify partial coverage; do not imply the totals cover earlier unrecorded use.</w:t>
            </w:r>
          </w:p>
        </w:tc>
      </w:tr>
    </w:tbl>
    <w:p>
      <w:pPr>
        <w:spacing w:after="20"/>
      </w:pPr>
    </w:p>
    <w:p>
      <w:pPr>
        <w:pStyle w:val="Heading1"/>
      </w:pPr>
      <w:r>
        <w:t>Accessibility requirements</w:t>
      </w:r>
    </w:p>
    <w:p>
      <w:pPr>
        <w:pStyle w:val="ListBullet"/>
        <w:spacing w:after="60"/>
      </w:pPr>
      <w:r>
        <w:t>Every amount is expressed in text and programmatically associated with its action.</w:t>
      </w:r>
    </w:p>
    <w:p>
      <w:pPr>
        <w:pStyle w:val="ListBullet"/>
        <w:spacing w:after="60"/>
      </w:pPr>
      <w:r>
        <w:t>The recommended option is identified by words and structure, not color alone.</w:t>
      </w:r>
    </w:p>
    <w:p>
      <w:pPr>
        <w:pStyle w:val="ListBullet"/>
        <w:spacing w:after="60"/>
      </w:pPr>
      <w:r>
        <w:t>All controls work by keyboard, touch, pointer, and screen reader.</w:t>
      </w:r>
    </w:p>
    <w:p>
      <w:pPr>
        <w:pStyle w:val="ListBullet"/>
        <w:spacing w:after="60"/>
      </w:pPr>
      <w:r>
        <w:t>Focus returns to the invoking control after dismissal or cancelled checkout.</w:t>
      </w:r>
    </w:p>
    <w:p>
      <w:pPr>
        <w:pStyle w:val="ListBullet"/>
        <w:spacing w:after="60"/>
      </w:pPr>
      <w:r>
        <w:t>Expanded calculations have a readable sentence equivalent.</w:t>
      </w:r>
    </w:p>
    <w:p>
      <w:pPr>
        <w:pStyle w:val="ListBullet"/>
        <w:spacing w:after="60"/>
      </w:pPr>
      <w:r>
        <w:t>The page respects reduced motion and does not rely on motion to attract payment.</w:t>
      </w:r>
    </w:p>
    <w:p>
      <w:pPr>
        <w:pStyle w:val="ListBullet"/>
        <w:spacing w:after="60"/>
      </w:pPr>
      <w:r>
        <w:t>Currency, decimal separators, units, dates, and reading direction are localized.</w:t>
      </w:r>
    </w:p>
    <w:p>
      <w:pPr>
        <w:pStyle w:val="Heading1"/>
      </w:pPr>
      <w:r>
        <w:t>Release stages</w:t>
      </w:r>
    </w:p>
    <w:tbl>
      <w:tblPr>
        <w:tblStyle w:val="TableGrid"/>
        <w:tblW w:type="auto" w:w="0"/>
        <w:tblLayout w:type="fixed"/>
        <w:tblLook w:firstColumn="1" w:firstRow="1" w:lastColumn="0" w:lastRow="0" w:noHBand="0" w:noVBand="1" w:val="04A0"/>
      </w:tblPr>
      <w:tblGrid>
        <w:gridCol w:w="3312"/>
        <w:gridCol w:w="3312"/>
        <w:gridCol w:w="3312"/>
      </w:tblGrid>
      <w:tr>
        <w:trPr>
          <w:tblHeader w:val="true"/>
        </w:trPr>
        <w:tc>
          <w:tcPr>
            <w:tcW w:type="dxa" w:w="2016"/>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Stage</w:t>
            </w:r>
          </w:p>
        </w:tc>
        <w:tc>
          <w:tcPr>
            <w:tcW w:type="dxa" w:w="4032"/>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Demonstrable result</w:t>
            </w:r>
          </w:p>
        </w:tc>
        <w:tc>
          <w:tcPr>
            <w:tcW w:type="dxa" w:w="3888"/>
            <w:shd w:fill="24364B"/>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pPr>
            <w:r>
              <w:rPr>
                <w:b/>
                <w:color w:val="FFFFFF"/>
                <w:sz w:val="18"/>
              </w:rPr>
              <w:t>Exit criteria</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Core prototype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Recorded sessions and active time survive restart</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Deterministic tests cover start, stop, idle, crash checkpoint, and migration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Manual support page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One product shows verified facts and configured amounts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No invented values; keyboard and screen reader review complete</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Payment integration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real contribution can complete and reconcile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Sandbox and production paths tested; secrets absent from clients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Reference pricing</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A dated United States price study yields auditable menu facts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Population, sample, source, calculation, date, and disclosure verified</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Shared adoption</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A second product uses the same core</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0" w:line="252" w:lineRule="auto"/>
            </w:pPr>
            <w:r>
              <w:rPr>
                <w:sz w:val="17"/>
              </w:rPr>
              <w:t>No copied policy or calculation code; adapters remain product specific</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Conversion program</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Variants can be compared from real funnel outcomes</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shd w:fill="EEF3F6"/>
            <w:vAlign w:val="center"/>
          </w:tcPr>
          <w:p>
            <w:pPr>
              <w:spacing w:after="0" w:line="252" w:lineRule="auto"/>
            </w:pPr>
            <w:r>
              <w:rPr>
                <w:sz w:val="17"/>
              </w:rPr>
              <w:t>Metrics and consent approved; guardrails monitored</w:t>
            </w:r>
          </w:p>
        </w:tc>
      </w:tr>
    </w:tbl>
    <w:p>
      <w:pPr>
        <w:spacing w:after="20"/>
      </w:pPr>
    </w:p>
    <w:p>
      <w:pPr>
        <w:pStyle w:val="Heading1"/>
      </w:pPr>
      <w:r>
        <w:t>Decision status</w:t>
      </w:r>
    </w:p>
    <w:p>
      <w:r>
        <w:t>Accepted: a shared, complete-without-payment product that states recorded value and uses a visibly calculated fry-to-meal scale. The 4 September 2026 United States reference is provisional. Open decisions are the payment provider, presentation rules, a retained multi-location fry measurement, and analytics consent.</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969"/>
        <w:sz w:val="16"/>
      </w:rPr>
      <w:t>Independent Software Support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E22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