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ea142d37874b28f2821cbfaef0c8d282508795"/>
    <w:p>
      <w:pPr>
        <w:pStyle w:val="Heading2"/>
      </w:pPr>
      <w:r>
        <w:t xml:space="preserve">4.5 Training Setup (Final Version for Publication)</w:t>
      </w:r>
    </w:p>
    <w:p>
      <w:pPr>
        <w:pStyle w:val="FirstParagraph"/>
      </w:pPr>
      <w:r>
        <w:t xml:space="preserve">This section describes the unified training pipeline used across all experiments, including</w:t>
      </w:r>
      <w:r>
        <w:t xml:space="preserve"> </w:t>
      </w:r>
      <w:r>
        <w:t xml:space="preserve">Task 1 (single-step addition), Task 2 (mixed arithmetic), and the modular execution</w:t>
      </w:r>
      <w:r>
        <w:t xml:space="preserve"> </w:t>
      </w:r>
      <w:r>
        <w:t xml:space="preserve">framework introduced in Section 4.8. The goal is to provide a clear, concise, and</w:t>
      </w:r>
      <w:r>
        <w:t xml:space="preserve"> </w:t>
      </w:r>
      <w:r>
        <w:t xml:space="preserve">journal-ready description of how all components were trained and integrated, without</w:t>
      </w:r>
      <w:r>
        <w:t xml:space="preserve"> </w:t>
      </w:r>
      <w:r>
        <w:t xml:space="preserve">referencing internal revisions or implementation-specific details.</w:t>
      </w:r>
    </w:p>
    <w:bookmarkStart w:id="9" w:name="backbone-configuration"/>
    <w:p>
      <w:pPr>
        <w:pStyle w:val="Heading3"/>
      </w:pPr>
      <w:r>
        <w:rPr>
          <w:b/>
          <w:bCs/>
        </w:rPr>
        <w:t xml:space="preserve">4.5.1 Backbone Configuration</w:t>
      </w:r>
    </w:p>
    <w:p>
      <w:pPr>
        <w:pStyle w:val="FirstParagraph"/>
      </w:pPr>
      <w:r>
        <w:t xml:space="preserve">All models in this study share a common semantic backbone to ensure feature consistency</w:t>
      </w:r>
      <w:r>
        <w:t xml:space="preserve"> </w:t>
      </w:r>
      <w:r>
        <w:t xml:space="preserve">across independently trained modules.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Backbone model:</w:t>
      </w:r>
      <w:r>
        <w:t xml:space="preserve"> </w:t>
      </w:r>
      <w:r>
        <w:t xml:space="preserve">Qwen3‑0.6B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Trainable layers:</w:t>
      </w:r>
      <w:r>
        <w:t xml:space="preserve"> </w:t>
      </w:r>
      <w:r>
        <w:t xml:space="preserve">Top 2 transformer layers (lower layers kept frozen)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Precision:</w:t>
      </w:r>
      <w:r>
        <w:t xml:space="preserve"> </w:t>
      </w:r>
      <w:r>
        <w:t xml:space="preserve">FP32 or BF16 depending on module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Embedding extraction:</w:t>
      </w:r>
      <w:r>
        <w:t xml:space="preserve"> </w:t>
      </w:r>
      <w:r>
        <w:t xml:space="preserve">Mean pooling over the final hidden states</w:t>
      </w:r>
    </w:p>
    <w:p>
      <w:pPr>
        <w:pStyle w:val="FirstParagraph"/>
      </w:pPr>
      <w:r>
        <w:t xml:space="preserve">This configuration provides a stable representation space that supports modular expert</w:t>
      </w:r>
      <w:r>
        <w:t xml:space="preserve"> </w:t>
      </w:r>
      <w:r>
        <w:t xml:space="preserve">integration.</w:t>
      </w:r>
    </w:p>
    <w:bookmarkEnd w:id="9"/>
    <w:bookmarkStart w:id="10" w:name="expert-training"/>
    <w:p>
      <w:pPr>
        <w:pStyle w:val="Heading3"/>
      </w:pPr>
      <w:r>
        <w:rPr>
          <w:b/>
          <w:bCs/>
        </w:rPr>
        <w:t xml:space="preserve">4.5.2 Expert Training</w:t>
      </w:r>
    </w:p>
    <w:p>
      <w:pPr>
        <w:pStyle w:val="FirstParagraph"/>
      </w:pPr>
      <w:r>
        <w:t xml:space="preserve">Specialized experts are trained independently on their respective sub‑tasks. Experts do not</w:t>
      </w:r>
      <w:r>
        <w:t xml:space="preserve"> </w:t>
      </w:r>
      <w:r>
        <w:t xml:space="preserve">share parameters and require no coordination during training.</w:t>
      </w:r>
    </w:p>
    <w:p>
      <w:pPr>
        <w:pStyle w:val="BodyText"/>
      </w:pPr>
      <w:r>
        <w:t xml:space="preserve">Two types of experts are used: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Arithmetic experts</w:t>
      </w:r>
      <w:r>
        <w:t xml:space="preserve"> </w:t>
      </w:r>
      <w:r>
        <w:t xml:space="preserve">(addition and subtraction)</w:t>
      </w:r>
    </w:p>
    <w:p>
      <w:pPr>
        <w:pStyle w:val="Compact"/>
        <w:numPr>
          <w:ilvl w:val="1"/>
          <w:numId w:val="1003"/>
        </w:numPr>
      </w:pPr>
      <w:r>
        <w:t xml:space="preserve">Each trained on</w:t>
      </w:r>
      <w:r>
        <w:t xml:space="preserve"> </w:t>
      </w:r>
      <w:r>
        <w:rPr>
          <w:b/>
          <w:bCs/>
        </w:rPr>
        <w:t xml:space="preserve">20,000 samples</w:t>
      </w:r>
    </w:p>
    <w:p>
      <w:pPr>
        <w:pStyle w:val="Compact"/>
        <w:numPr>
          <w:ilvl w:val="1"/>
          <w:numId w:val="1003"/>
        </w:numPr>
      </w:pPr>
      <w:r>
        <w:t xml:space="preserve">Designed for step‑wise execution in Section 4.8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Range‑specialized experts</w:t>
      </w:r>
      <w:r>
        <w:t xml:space="preserve"> </w:t>
      </w:r>
      <w:r>
        <w:t xml:space="preserve">(for classification tasks)</w:t>
      </w:r>
    </w:p>
    <w:p>
      <w:pPr>
        <w:pStyle w:val="Compact"/>
        <w:numPr>
          <w:ilvl w:val="1"/>
          <w:numId w:val="1004"/>
        </w:numPr>
      </w:pPr>
      <w:r>
        <w:t xml:space="preserve">Trained on the full</w:t>
      </w:r>
      <w:r>
        <w:t xml:space="preserve"> </w:t>
      </w:r>
      <w:r>
        <w:rPr>
          <w:b/>
          <w:bCs/>
        </w:rPr>
        <w:t xml:space="preserve">80,000‑sample</w:t>
      </w:r>
      <w:r>
        <w:t xml:space="preserve"> </w:t>
      </w:r>
      <w:r>
        <w:t xml:space="preserve">dataset</w:t>
      </w:r>
    </w:p>
    <w:p>
      <w:pPr>
        <w:pStyle w:val="Compact"/>
        <w:numPr>
          <w:ilvl w:val="1"/>
          <w:numId w:val="1004"/>
        </w:numPr>
      </w:pPr>
      <w:r>
        <w:t xml:space="preserve">Used in Tasks 1 and 2 for interval prediction</w:t>
      </w:r>
    </w:p>
    <w:p>
      <w:pPr>
        <w:pStyle w:val="FirstParagraph"/>
      </w:pPr>
      <w:r>
        <w:t xml:space="preserve">All experts use identical optimization settings: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1e‑4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16 (virtual batch 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epochs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</w:pPr>
            <w:r>
              <w:t xml:space="preserve">patience = 3</w:t>
            </w:r>
          </w:p>
        </w:tc>
      </w:tr>
    </w:tbl>
    <w:p>
      <w:pPr>
        <w:pStyle w:val="BodyText"/>
      </w:pPr>
      <w:r>
        <w:t xml:space="preserve">This setup enables experts to capture domain‑specific structure while remaining lightweight</w:t>
      </w:r>
      <w:r>
        <w:t xml:space="preserve"> </w:t>
      </w:r>
      <w:r>
        <w:t xml:space="preserve">and modular.</w:t>
      </w:r>
    </w:p>
    <w:bookmarkEnd w:id="10"/>
    <w:bookmarkStart w:id="11" w:name="router-training"/>
    <w:p>
      <w:pPr>
        <w:pStyle w:val="Heading3"/>
      </w:pPr>
      <w:r>
        <w:rPr>
          <w:b/>
          <w:bCs/>
        </w:rPr>
        <w:t xml:space="preserve">4.5.3 Router Training</w:t>
      </w:r>
    </w:p>
    <w:p>
      <w:pPr>
        <w:pStyle w:val="FirstParagraph"/>
      </w:pPr>
      <w:r>
        <w:t xml:space="preserve">Routers determine how expert outputs are combined during inference.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2‑layer MLP with hidden size 256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Prediction target:</w:t>
      </w:r>
      <w:r>
        <w:t xml:space="preserve"> </w:t>
      </w:r>
      <w:r>
        <w:t xml:space="preserve">Five numerical intervals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Router variants:</w:t>
      </w:r>
    </w:p>
    <w:p>
      <w:pPr>
        <w:pStyle w:val="Compact"/>
        <w:numPr>
          <w:ilvl w:val="1"/>
          <w:numId w:val="1006"/>
        </w:numPr>
      </w:pPr>
      <w:r>
        <w:t xml:space="preserve">RED router (residual combination)</w:t>
      </w:r>
    </w:p>
    <w:p>
      <w:pPr>
        <w:pStyle w:val="Compact"/>
        <w:numPr>
          <w:ilvl w:val="1"/>
          <w:numId w:val="1006"/>
        </w:numPr>
      </w:pPr>
      <w:r>
        <w:t xml:space="preserve">Classical MoE router (softmax gating)</w:t>
      </w:r>
    </w:p>
    <w:p>
      <w:pPr>
        <w:pStyle w:val="Compact"/>
        <w:numPr>
          <w:ilvl w:val="1"/>
          <w:numId w:val="1006"/>
        </w:numPr>
      </w:pPr>
      <w:r>
        <w:t xml:space="preserve">AllFix (uniform fusion, no gating)</w:t>
      </w:r>
    </w:p>
    <w:p>
      <w:pPr>
        <w:pStyle w:val="FirstParagraph"/>
      </w:pPr>
      <w:r>
        <w:t xml:space="preserve">Routers operate on backbone embeddings and are trained only after expert parameters are</w:t>
      </w:r>
      <w:r>
        <w:t xml:space="preserve"> </w:t>
      </w:r>
      <w:r>
        <w:t xml:space="preserve">fixed, ensuring strict modularity.</w:t>
      </w:r>
    </w:p>
    <w:bookmarkEnd w:id="11"/>
    <w:bookmarkStart w:id="12" w:name="step-decomposer-training"/>
    <w:p>
      <w:pPr>
        <w:pStyle w:val="Heading3"/>
      </w:pPr>
      <w:r>
        <w:rPr>
          <w:b/>
          <w:bCs/>
        </w:rPr>
        <w:t xml:space="preserve">4.5.4 Step Decomposer Training</w:t>
      </w:r>
    </w:p>
    <w:p>
      <w:pPr>
        <w:pStyle w:val="FirstParagraph"/>
      </w:pPr>
      <w:r>
        <w:t xml:space="preserve">The step decomposer used in Section 4.8 predicts the computational program for mixed</w:t>
      </w:r>
      <w:r>
        <w:t xml:space="preserve"> </w:t>
      </w:r>
      <w:r>
        <w:t xml:space="preserve">arithmetic expressions.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Natural‑language arithmetic query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Structured sequence of explicit operations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Step 1: a + b = x1</w:t>
      </w:r>
      <w:r>
        <w:br/>
      </w:r>
      <w:r>
        <w:rPr>
          <w:rStyle w:val="VerbatimChar"/>
        </w:rPr>
        <w:t xml:space="preserve">Step 2: x1 − c = x2</w:t>
      </w:r>
    </w:p>
    <w:p>
      <w:pPr>
        <w:pStyle w:val="FirstParagraph"/>
      </w:pPr>
      <w:r>
        <w:t xml:space="preserve">The decomposer is trained independently of all experts and routers, enabling a clean</w:t>
      </w:r>
      <w:r>
        <w:t xml:space="preserve"> </w:t>
      </w:r>
      <w:r>
        <w:t xml:space="preserve">separation between</w:t>
      </w:r>
      <w:r>
        <w:t xml:space="preserve"> </w:t>
      </w:r>
      <w:r>
        <w:rPr>
          <w:b/>
          <w:bCs/>
        </w:rPr>
        <w:t xml:space="preserve">structure inference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numerical execution</w:t>
      </w:r>
      <w:r>
        <w:t xml:space="preserve">.</w:t>
      </w:r>
    </w:p>
    <w:bookmarkEnd w:id="12"/>
    <w:bookmarkStart w:id="13" w:name="modular-integration"/>
    <w:p>
      <w:pPr>
        <w:pStyle w:val="Heading3"/>
      </w:pPr>
      <w:r>
        <w:rPr>
          <w:b/>
          <w:bCs/>
        </w:rPr>
        <w:t xml:space="preserve">4.5.5 Modular Integration</w:t>
      </w:r>
    </w:p>
    <w:p>
      <w:pPr>
        <w:pStyle w:val="FirstParagraph"/>
      </w:pPr>
      <w:r>
        <w:t xml:space="preserve">After all components are independently trained — backbone, experts, routers, and step</w:t>
      </w:r>
      <w:r>
        <w:t xml:space="preserve"> </w:t>
      </w:r>
      <w:r>
        <w:t xml:space="preserve">decomposer — they are integrated into a unified system without finetuning the backbone.</w:t>
      </w:r>
    </w:p>
    <w:p>
      <w:pPr>
        <w:pStyle w:val="BodyText"/>
      </w:pPr>
      <w:r>
        <w:t xml:space="preserve">This demonstrates a key property of the framework:</w:t>
      </w:r>
    </w:p>
    <w:p>
      <w:pPr>
        <w:pStyle w:val="BlockText"/>
      </w:pPr>
      <w:r>
        <w:rPr>
          <w:b/>
          <w:bCs/>
        </w:rPr>
        <w:t xml:space="preserve">Modular components can be trained independently and later combined without joint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optimization.</w:t>
      </w:r>
    </w:p>
    <w:p>
      <w:pPr>
        <w:pStyle w:val="FirstParagraph"/>
      </w:pPr>
      <w:r>
        <w:t xml:space="preserve">This design enables scalable, decentralized training while maintaining coherent global</w:t>
      </w:r>
      <w:r>
        <w:t xml:space="preserve"> </w:t>
      </w:r>
      <w:r>
        <w:t xml:space="preserve">behavior.</w:t>
      </w:r>
    </w:p>
    <w:bookmarkEnd w:id="13"/>
    <w:bookmarkStart w:id="14" w:name="dataset-usage"/>
    <w:p>
      <w:pPr>
        <w:pStyle w:val="Heading3"/>
      </w:pPr>
      <w:r>
        <w:rPr>
          <w:b/>
          <w:bCs/>
        </w:rPr>
        <w:t xml:space="preserve">4.5.6 Dataset Usage</w:t>
      </w:r>
    </w:p>
    <w:p>
      <w:pPr>
        <w:pStyle w:val="FirstParagraph"/>
      </w:pPr>
      <w:r>
        <w:t xml:space="preserve">Both arithmetic tasks use an 80,000‑sample dataset with a fixed split: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64,000</w:t>
      </w:r>
      <w:r>
        <w:t xml:space="preserve"> </w:t>
      </w:r>
      <w:r>
        <w:t xml:space="preserve">training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8,000</w:t>
      </w:r>
      <w:r>
        <w:t xml:space="preserve"> </w:t>
      </w:r>
      <w:r>
        <w:t xml:space="preserve">validation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8,000</w:t>
      </w:r>
      <w:r>
        <w:t xml:space="preserve"> </w:t>
      </w:r>
      <w:r>
        <w:t xml:space="preserve">test</w:t>
      </w:r>
    </w:p>
    <w:p>
      <w:pPr>
        <w:pStyle w:val="FirstParagraph"/>
      </w:pPr>
      <w:r>
        <w:t xml:space="preserve">The backbone is trained using only 10% of the training set to encourage meaningful expert</w:t>
      </w:r>
      <w:r>
        <w:t xml:space="preserve"> </w:t>
      </w:r>
      <w:r>
        <w:t xml:space="preserve">contributions. All experts and routers use the full portion of the dataset relevant to their</w:t>
      </w:r>
      <w:r>
        <w:t xml:space="preserve"> </w:t>
      </w:r>
      <w:r>
        <w:t xml:space="preserve">roles.</w:t>
      </w:r>
    </w:p>
    <w:p>
      <w:pPr>
        <w:pStyle w:val="BodyText"/>
      </w:pPr>
      <w:r>
        <w:t xml:space="preserve">In addition, the step decomposer is trained on an</w:t>
      </w:r>
      <w:r>
        <w:t xml:space="preserve"> </w:t>
      </w:r>
      <w:r>
        <w:rPr>
          <w:b/>
          <w:bCs/>
        </w:rPr>
        <w:t xml:space="preserve">80,000‑sample program‑annotated corpus</w:t>
      </w:r>
      <w:r>
        <w:t xml:space="preserve"> </w:t>
      </w:r>
      <w:r>
        <w:t xml:space="preserve">balanced across:</w:t>
      </w:r>
      <w:r>
        <w:t xml:space="preserve"> </w:t>
      </w:r>
      <w:r>
        <w:t xml:space="preserve">- 2‑step expressions: 20%</w:t>
      </w:r>
      <w:r>
        <w:t xml:space="preserve"> </w:t>
      </w:r>
      <w:r>
        <w:t xml:space="preserve">- 3‑step expressions: 40%</w:t>
      </w:r>
      <w:r>
        <w:t xml:space="preserve"> </w:t>
      </w:r>
      <w:r>
        <w:t xml:space="preserve">- 4‑step expressions: 40%</w:t>
      </w:r>
    </w:p>
    <w:bookmarkEnd w:id="14"/>
    <w:bookmarkStart w:id="15" w:name="training-environment-summary"/>
    <w:p>
      <w:pPr>
        <w:pStyle w:val="Heading3"/>
      </w:pPr>
      <w:r>
        <w:rPr>
          <w:b/>
          <w:bCs/>
        </w:rPr>
        <w:t xml:space="preserve">4.5.7 Training Environment Summary</w:t>
      </w:r>
    </w:p>
    <w:p>
      <w:pPr>
        <w:pStyle w:val="FirstParagraph"/>
      </w:pPr>
      <w:r>
        <w:t xml:space="preserve">The overall system uses mixed precision and multiple training devices, but these details do</w:t>
      </w:r>
      <w:r>
        <w:t xml:space="preserve"> </w:t>
      </w:r>
      <w:r>
        <w:t xml:space="preserve">not affect the modular structure of the method.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Backbone:</w:t>
      </w:r>
      <w:r>
        <w:t xml:space="preserve"> </w:t>
      </w:r>
      <w:r>
        <w:t xml:space="preserve">Trained in full precision (FP32)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Experts:</w:t>
      </w:r>
      <w:r>
        <w:t xml:space="preserve"> </w:t>
      </w:r>
      <w:r>
        <w:t xml:space="preserve">Trained independently, typically in FP32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Routers &amp; Decomposer:</w:t>
      </w:r>
      <w:r>
        <w:t xml:space="preserve"> </w:t>
      </w:r>
      <w:r>
        <w:t xml:space="preserve">Trained efficiently in BF16</w:t>
      </w:r>
    </w:p>
    <w:p>
      <w:pPr>
        <w:pStyle w:val="FirstParagraph"/>
      </w:pPr>
      <w:r>
        <w:t xml:space="preserve">The design remains hardware‑agnostic and focuses on methodological reproducibility.</w:t>
      </w:r>
    </w:p>
    <w:bookmarkEnd w:id="15"/>
    <w:bookmarkStart w:id="16" w:name="summary"/>
    <w:p>
      <w:pPr>
        <w:pStyle w:val="Heading3"/>
      </w:pPr>
      <w:r>
        <w:rPr>
          <w:b/>
          <w:bCs/>
        </w:rPr>
        <w:t xml:space="preserve">4.5.8 Summary</w:t>
      </w:r>
    </w:p>
    <w:p>
      <w:pPr>
        <w:pStyle w:val="FirstParagraph"/>
      </w:pPr>
      <w:r>
        <w:t xml:space="preserve">This unified training setup supports the modular reasoning framework evaluated throughout</w:t>
      </w:r>
      <w:r>
        <w:t xml:space="preserve"> </w:t>
      </w:r>
      <w:r>
        <w:t xml:space="preserve">Section 4. The key methodological principles are: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Shared backbone with stable embeddings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Independent training of all experts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Routers trained after experts for clean modularity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decomposer enabling structured execution in multi‑step tasks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Full system integration without global retraining</w:t>
      </w:r>
    </w:p>
    <w:p>
      <w:pPr>
        <w:pStyle w:val="FirstParagraph"/>
      </w:pPr>
      <w:r>
        <w:t xml:space="preserve">This structure enables precise control over specialization, modularity, and scalability, forming</w:t>
      </w:r>
      <w:r>
        <w:t xml:space="preserve"> </w:t>
      </w:r>
      <w:r>
        <w:t xml:space="preserve">the foundation of all subsequent experimental results.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2025-12-07T08:43:48Z</dcterms:created>
  <dcterms:modified xsi:type="dcterms:W3CDTF">2025-12-07T08:43:48Z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