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sults-on-task-1-addition-de-duplicated"/>
    <w:p>
      <w:pPr>
        <w:pStyle w:val="Heading2"/>
      </w:pPr>
      <w:r>
        <w:t xml:space="preserve">4.6 Results on Task 1: Addition (De-duplicated)</w:t>
      </w:r>
    </w:p>
    <w:p>
      <w:pPr>
        <w:pStyle w:val="FirstParagraph"/>
      </w:pPr>
      <w:r>
        <w:t xml:space="preserve">Task 1 evaluates natural-language addition queries whose outputs fall within</w:t>
      </w:r>
      <w:r>
        <w:t xml:space="preserve"> </w:t>
      </w:r>
      <w:r>
        <w:t xml:space="preserve">five explicit numerical ranges (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–</w:t>
      </w:r>
      <m:oMath>
        <m:sSub>
          <m:e>
            <m:r>
              <m:t>R</m:t>
            </m:r>
          </m:e>
          <m:sub>
            <m:r>
              <m:t>5</m:t>
            </m:r>
          </m:sub>
        </m:sSub>
      </m:oMath>
      <w:r>
        <w:t xml:space="preserve">).</w:t>
      </w:r>
      <w:r>
        <w:br/>
      </w:r>
      <w:r>
        <w:t xml:space="preserve">Because the target ranges are discretely defined in Section 4.1, this task enables</w:t>
      </w:r>
      <w:r>
        <w:t xml:space="preserve"> </w:t>
      </w:r>
      <w:r>
        <w:t xml:space="preserve">precise comparison of global accuracy, range-wise specialization, and routing stability.</w:t>
      </w:r>
      <w:r>
        <w:t xml:space="preserve"> </w:t>
      </w:r>
      <w:r>
        <w:t xml:space="preserve">This section reports only results, without repeating architectural details.</w:t>
      </w:r>
    </w:p>
    <w:p>
      <w:r>
        <w:pict>
          <v:rect style="width:0;height:1.5pt" o:hralign="center" o:hrstd="t" o:hr="t"/>
        </w:pict>
      </w:r>
    </w:p>
    <w:bookmarkStart w:id="9" w:name="overall-performance"/>
    <w:p>
      <w:pPr>
        <w:pStyle w:val="Heading3"/>
      </w:pPr>
      <w:r>
        <w:t xml:space="preserve">4.6.1 Overall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Macro-F1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Head (base)</w:t>
            </w:r>
          </w:p>
        </w:tc>
        <w:tc>
          <w:tcPr/>
          <w:p>
            <w:pPr>
              <w:pStyle w:val="Compact"/>
            </w:pPr>
            <w:r>
              <w:t xml:space="preserve">0.5503</w:t>
            </w:r>
          </w:p>
        </w:tc>
        <w:tc>
          <w:tcPr/>
          <w:p>
            <w:pPr>
              <w:pStyle w:val="Compact"/>
            </w:pPr>
            <w:r>
              <w:t xml:space="preserve">0.5194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 Avg (all_fixed)</w:t>
            </w:r>
          </w:p>
        </w:tc>
        <w:tc>
          <w:tcPr/>
          <w:p>
            <w:pPr>
              <w:pStyle w:val="Compact"/>
            </w:pPr>
            <w:r>
              <w:t xml:space="preserve">0.2686</w:t>
            </w:r>
          </w:p>
        </w:tc>
        <w:tc>
          <w:tcPr/>
          <w:p>
            <w:pPr>
              <w:pStyle w:val="Compact"/>
            </w:pPr>
            <w:r>
              <w:t xml:space="preserve">0.2295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MoE Gating (moe)</w:t>
            </w:r>
          </w:p>
        </w:tc>
        <w:tc>
          <w:tcPr/>
          <w:p>
            <w:pPr>
              <w:pStyle w:val="Compact"/>
            </w:pPr>
            <w:r>
              <w:t xml:space="preserve">0.8576</w:t>
            </w:r>
          </w:p>
        </w:tc>
        <w:tc>
          <w:tcPr/>
          <w:p>
            <w:pPr>
              <w:pStyle w:val="Compact"/>
            </w:pPr>
            <w:r>
              <w:t xml:space="preserve">0.8568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 (Ours, router)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0.9722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on Macro-F1:</w:t>
      </w:r>
      <w:r>
        <w:br/>
      </w:r>
      <w:r>
        <w:t xml:space="preserve">Macro-F1 is lower because each range computes F1 over</w:t>
      </w:r>
      <w:r>
        <w:t xml:space="preserve"> </w:t>
      </w:r>
      <w:r>
        <w:rPr>
          <w:b/>
          <w:bCs/>
        </w:rPr>
        <w:t xml:space="preserve">99 output classes</w:t>
      </w:r>
      <w:r>
        <w:t xml:space="preserve">, many of</w:t>
      </w:r>
      <w:r>
        <w:t xml:space="preserve"> </w:t>
      </w:r>
      <w:r>
        <w:t xml:space="preserve">which have extremely small support. Even when accuracy is near-perfect, rare-class</w:t>
      </w:r>
      <w:r>
        <w:t xml:space="preserve"> </w:t>
      </w:r>
      <w:r>
        <w:t xml:space="preserve">errors sharply reduce Macro-F1.</w:t>
      </w:r>
    </w:p>
    <w:p>
      <w:pPr>
        <w:pStyle w:val="BodyText"/>
      </w:pPr>
      <w:r>
        <w:rPr>
          <w:b/>
          <w:bCs/>
        </w:rPr>
        <w:t xml:space="preserve">Interpretation:</w:t>
      </w:r>
      <w:r>
        <w:br/>
      </w:r>
      <w:r>
        <w:t xml:space="preserve">RED achieves the strongest overall performance, improving upon MoE by</w:t>
      </w:r>
      <w:r>
        <w:t xml:space="preserve"> </w:t>
      </w:r>
      <w:r>
        <w:rPr>
          <w:b/>
          <w:bCs/>
        </w:rPr>
        <w:t xml:space="preserve">+11.5%</w:t>
      </w:r>
      <w:r>
        <w:t xml:space="preserve"> </w:t>
      </w:r>
      <w:r>
        <w:t xml:space="preserve">accuracy and far surpassing non-modular baselines.</w:t>
      </w:r>
    </w:p>
    <w:p>
      <w:r>
        <w:pict>
          <v:rect style="width:0;height:1.5pt" o:hralign="center" o:hrstd="t" o:hr="t"/>
        </w:pict>
      </w:r>
    </w:p>
    <w:bookmarkEnd w:id="9"/>
    <w:bookmarkStart w:id="12" w:name="accuracy-by-numerical-range-r_1r_5"/>
    <w:p>
      <w:pPr>
        <w:pStyle w:val="Heading3"/>
      </w:pPr>
      <w:r>
        <w:t xml:space="preserve">4.6.2 Accuracy by Numerical Range (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–</w:t>
      </w:r>
      <m:oMath>
        <m:sSub>
          <m:e>
            <m:r>
              <m:t>R</m:t>
            </m:r>
          </m:e>
          <m:sub>
            <m:r>
              <m:t>5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Ranges defined in Section 4.1: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2–20</w:t>
      </w:r>
      <w:r>
        <w:br/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= 21–40</w:t>
      </w:r>
      <w:r>
        <w:br/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= 41–60</w:t>
      </w:r>
      <w:r>
        <w:br/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= 61–80</w:t>
      </w:r>
      <w:r>
        <w:br/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R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= 81–100</w:t>
      </w:r>
    </w:p>
    <w:p>
      <w:pPr>
        <w:pStyle w:val="FirstParagraph"/>
      </w:pPr>
      <w:r>
        <w:t xml:space="preserve">Accuracy → three qualitative levels: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high:</w:t>
      </w:r>
      <w:r>
        <w:t xml:space="preserve"> </w:t>
      </w:r>
      <w:r>
        <w:t xml:space="preserve">≥ 0.80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moderate:</w:t>
      </w:r>
      <w:r>
        <w:t xml:space="preserve"> </w:t>
      </w:r>
      <w:r>
        <w:t xml:space="preserve">0.55–0.80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low:</w:t>
      </w:r>
      <w:r>
        <w:t xml:space="preserve"> </w:t>
      </w:r>
      <w:r>
        <w:t xml:space="preserve">&lt; 0.55</w:t>
      </w:r>
    </w:p>
    <w:bookmarkStart w:id="10" w:name="raw-accuracy-values-from-logs"/>
    <w:p>
      <w:pPr>
        <w:pStyle w:val="Heading4"/>
      </w:pPr>
      <w:r>
        <w:t xml:space="preserve">Raw Accuracy Values from Logs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Global Head (base)</w:t>
      </w:r>
    </w:p>
    <w:p>
      <w:pPr>
        <w:pStyle w:val="Compact"/>
        <w:numPr>
          <w:ilvl w:val="1"/>
          <w:numId w:val="1004"/>
        </w:numPr>
      </w:pP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0.8994</w:t>
      </w:r>
      <w:r>
        <w:br/>
      </w:r>
    </w:p>
    <w:p>
      <w:pPr>
        <w:pStyle w:val="Compact"/>
        <w:numPr>
          <w:ilvl w:val="1"/>
          <w:numId w:val="1004"/>
        </w:numPr>
      </w:pP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0.4480</w:t>
      </w:r>
      <w:r>
        <w:br/>
      </w:r>
    </w:p>
    <w:p>
      <w:pPr>
        <w:pStyle w:val="Compact"/>
        <w:numPr>
          <w:ilvl w:val="1"/>
          <w:numId w:val="1004"/>
        </w:numPr>
      </w:pP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0.3131</w:t>
      </w:r>
      <w:r>
        <w:br/>
      </w:r>
    </w:p>
    <w:p>
      <w:pPr>
        <w:pStyle w:val="Compact"/>
        <w:numPr>
          <w:ilvl w:val="1"/>
          <w:numId w:val="1004"/>
        </w:numPr>
      </w:pP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0.3975</w:t>
      </w:r>
      <w:r>
        <w:br/>
      </w:r>
    </w:p>
    <w:p>
      <w:pPr>
        <w:pStyle w:val="Compact"/>
        <w:numPr>
          <w:ilvl w:val="1"/>
          <w:numId w:val="1004"/>
        </w:numPr>
      </w:pPr>
      <m:oMath>
        <m:sSub>
          <m:e>
            <m:r>
              <m:t>R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0.6719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Uniform Avg (all_fixed)</w:t>
      </w:r>
    </w:p>
    <w:p>
      <w:pPr>
        <w:pStyle w:val="Compact"/>
        <w:numPr>
          <w:ilvl w:val="1"/>
          <w:numId w:val="1005"/>
        </w:numPr>
      </w:pP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0.8978</w:t>
      </w:r>
      <w:r>
        <w:br/>
      </w:r>
    </w:p>
    <w:p>
      <w:pPr>
        <w:pStyle w:val="Compact"/>
        <w:numPr>
          <w:ilvl w:val="1"/>
          <w:numId w:val="1005"/>
        </w:numPr>
      </w:pP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0.0054</w:t>
      </w:r>
      <w:r>
        <w:br/>
      </w:r>
    </w:p>
    <w:p>
      <w:pPr>
        <w:pStyle w:val="Compact"/>
        <w:numPr>
          <w:ilvl w:val="1"/>
          <w:numId w:val="1005"/>
        </w:numPr>
      </w:pP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0.0000</w:t>
      </w:r>
      <w:r>
        <w:br/>
      </w:r>
    </w:p>
    <w:p>
      <w:pPr>
        <w:pStyle w:val="Compact"/>
        <w:numPr>
          <w:ilvl w:val="1"/>
          <w:numId w:val="1005"/>
        </w:numPr>
      </w:pP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0.0000</w:t>
      </w:r>
      <w:r>
        <w:br/>
      </w:r>
    </w:p>
    <w:p>
      <w:pPr>
        <w:pStyle w:val="Compact"/>
        <w:numPr>
          <w:ilvl w:val="1"/>
          <w:numId w:val="1005"/>
        </w:numPr>
      </w:pPr>
      <m:oMath>
        <m:sSub>
          <m:e>
            <m:r>
              <m:t>R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0.4104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MoE Gating (moe)</w:t>
      </w:r>
    </w:p>
    <w:p>
      <w:pPr>
        <w:pStyle w:val="Compact"/>
        <w:numPr>
          <w:ilvl w:val="1"/>
          <w:numId w:val="1006"/>
        </w:numPr>
      </w:pP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1.0000</w:t>
      </w:r>
      <w:r>
        <w:br/>
      </w:r>
    </w:p>
    <w:p>
      <w:pPr>
        <w:pStyle w:val="Compact"/>
        <w:numPr>
          <w:ilvl w:val="1"/>
          <w:numId w:val="1006"/>
        </w:numPr>
      </w:pP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0.7883</w:t>
      </w:r>
      <w:r>
        <w:br/>
      </w:r>
    </w:p>
    <w:p>
      <w:pPr>
        <w:pStyle w:val="Compact"/>
        <w:numPr>
          <w:ilvl w:val="1"/>
          <w:numId w:val="1006"/>
        </w:numPr>
      </w:pP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0.6836</w:t>
      </w:r>
      <w:r>
        <w:br/>
      </w:r>
    </w:p>
    <w:p>
      <w:pPr>
        <w:pStyle w:val="Compact"/>
        <w:numPr>
          <w:ilvl w:val="1"/>
          <w:numId w:val="1006"/>
        </w:numPr>
      </w:pP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0.7989</w:t>
      </w:r>
      <w:r>
        <w:br/>
      </w:r>
    </w:p>
    <w:p>
      <w:pPr>
        <w:pStyle w:val="Compact"/>
        <w:numPr>
          <w:ilvl w:val="1"/>
          <w:numId w:val="1006"/>
        </w:numPr>
      </w:pPr>
      <m:oMath>
        <m:sSub>
          <m:e>
            <m:r>
              <m:t>R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0.9907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 (router)</w:t>
      </w:r>
    </w:p>
    <w:p>
      <w:pPr>
        <w:pStyle w:val="Compact"/>
        <w:numPr>
          <w:ilvl w:val="1"/>
          <w:numId w:val="1007"/>
        </w:numPr>
      </w:pP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1.0000</w:t>
      </w:r>
      <w:r>
        <w:br/>
      </w:r>
    </w:p>
    <w:p>
      <w:pPr>
        <w:pStyle w:val="Compact"/>
        <w:numPr>
          <w:ilvl w:val="1"/>
          <w:numId w:val="1007"/>
        </w:numPr>
      </w:pP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0.9822</w:t>
      </w:r>
      <w:r>
        <w:br/>
      </w:r>
    </w:p>
    <w:p>
      <w:pPr>
        <w:pStyle w:val="Compact"/>
        <w:numPr>
          <w:ilvl w:val="1"/>
          <w:numId w:val="1007"/>
        </w:numPr>
      </w:pP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0.9227</w:t>
      </w:r>
      <w:r>
        <w:br/>
      </w:r>
    </w:p>
    <w:p>
      <w:pPr>
        <w:pStyle w:val="Compact"/>
        <w:numPr>
          <w:ilvl w:val="1"/>
          <w:numId w:val="1007"/>
        </w:numPr>
      </w:pP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0.9527</w:t>
      </w:r>
      <w:r>
        <w:br/>
      </w:r>
    </w:p>
    <w:p>
      <w:pPr>
        <w:pStyle w:val="Compact"/>
        <w:numPr>
          <w:ilvl w:val="1"/>
          <w:numId w:val="1007"/>
        </w:numPr>
      </w:pPr>
      <m:oMath>
        <m:sSub>
          <m:e>
            <m:r>
              <m:t>R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1.0000</w:t>
      </w:r>
    </w:p>
    <w:bookmarkEnd w:id="10"/>
    <w:bookmarkStart w:id="11" w:name="final-accuracy-level-table"/>
    <w:p>
      <w:pPr>
        <w:pStyle w:val="Heading4"/>
      </w:pPr>
      <w:r>
        <w:t xml:space="preserve">Final Accuracy-Level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289"/>
        <w:gridCol w:w="1289"/>
        <w:gridCol w:w="1289"/>
        <w:gridCol w:w="1289"/>
        <w:gridCol w:w="12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5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Global Head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 Avg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MoE Gating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 (Ours)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macro-f1-by-numerical-range"/>
    <w:p>
      <w:pPr>
        <w:pStyle w:val="Heading3"/>
      </w:pPr>
      <w:r>
        <w:t xml:space="preserve">4.6.3 Macro-F1 by Numerical Range</w:t>
      </w:r>
    </w:p>
    <w:p>
      <w:pPr>
        <w:pStyle w:val="FirstParagraph"/>
      </w:pPr>
      <w:r>
        <w:t xml:space="preserve">Macro-F1 is averaged over</w:t>
      </w:r>
      <w:r>
        <w:t xml:space="preserve"> </w:t>
      </w:r>
      <w:r>
        <w:rPr>
          <w:b/>
          <w:bCs/>
        </w:rPr>
        <w:t xml:space="preserve">99 output classes per range</w:t>
      </w:r>
      <w:r>
        <w:t xml:space="preserve">, which penalizes rare-class</w:t>
      </w:r>
      <w:r>
        <w:t xml:space="preserve"> </w:t>
      </w:r>
      <w:r>
        <w:t xml:space="preserve">errors sharply. This explains why even ranges with 100% accuracy (e.g.,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for RED)</w:t>
      </w:r>
      <w:r>
        <w:t xml:space="preserve"> </w:t>
      </w:r>
      <w:r>
        <w:t xml:space="preserve">still produce Macro-F1 around 0.19–0.20.</w:t>
      </w:r>
    </w:p>
    <w:bookmarkStart w:id="13" w:name="raw-macro-f1-values-from-logs"/>
    <w:p>
      <w:pPr>
        <w:pStyle w:val="Heading4"/>
      </w:pPr>
      <w:r>
        <w:t xml:space="preserve">Raw Macro-F1 Values from Logs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Global Head (base)</w:t>
      </w:r>
    </w:p>
    <w:p>
      <w:pPr>
        <w:pStyle w:val="Compact"/>
        <w:numPr>
          <w:ilvl w:val="1"/>
          <w:numId w:val="1009"/>
        </w:numPr>
      </w:pP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0.1706</w:t>
      </w:r>
      <w:r>
        <w:br/>
      </w:r>
    </w:p>
    <w:p>
      <w:pPr>
        <w:pStyle w:val="Compact"/>
        <w:numPr>
          <w:ilvl w:val="1"/>
          <w:numId w:val="1009"/>
        </w:numPr>
      </w:pP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0.0882</w:t>
      </w:r>
      <w:r>
        <w:br/>
      </w:r>
    </w:p>
    <w:p>
      <w:pPr>
        <w:pStyle w:val="Compact"/>
        <w:numPr>
          <w:ilvl w:val="1"/>
          <w:numId w:val="1009"/>
        </w:numPr>
      </w:pP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0.0627</w:t>
      </w:r>
      <w:r>
        <w:br/>
      </w:r>
    </w:p>
    <w:p>
      <w:pPr>
        <w:pStyle w:val="Compact"/>
        <w:numPr>
          <w:ilvl w:val="1"/>
          <w:numId w:val="1009"/>
        </w:numPr>
      </w:pP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0.0765</w:t>
      </w:r>
      <w:r>
        <w:br/>
      </w:r>
    </w:p>
    <w:p>
      <w:pPr>
        <w:pStyle w:val="Compact"/>
        <w:numPr>
          <w:ilvl w:val="1"/>
          <w:numId w:val="1009"/>
        </w:numPr>
      </w:pPr>
      <m:oMath>
        <m:sSub>
          <m:e>
            <m:r>
              <m:t>R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0.1304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Avg (all_fixed)</w:t>
      </w:r>
    </w:p>
    <w:p>
      <w:pPr>
        <w:pStyle w:val="Compact"/>
        <w:numPr>
          <w:ilvl w:val="1"/>
          <w:numId w:val="1010"/>
        </w:numPr>
      </w:pP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0.1826</w:t>
      </w:r>
      <w:r>
        <w:br/>
      </w:r>
    </w:p>
    <w:p>
      <w:pPr>
        <w:pStyle w:val="Compact"/>
        <w:numPr>
          <w:ilvl w:val="1"/>
          <w:numId w:val="1010"/>
        </w:numPr>
      </w:pP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0.0016</w:t>
      </w:r>
      <w:r>
        <w:br/>
      </w:r>
    </w:p>
    <w:p>
      <w:pPr>
        <w:pStyle w:val="Compact"/>
        <w:numPr>
          <w:ilvl w:val="1"/>
          <w:numId w:val="1010"/>
        </w:numPr>
      </w:pP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0.0000</w:t>
      </w:r>
      <w:r>
        <w:br/>
      </w:r>
    </w:p>
    <w:p>
      <w:pPr>
        <w:pStyle w:val="Compact"/>
        <w:numPr>
          <w:ilvl w:val="1"/>
          <w:numId w:val="1010"/>
        </w:numPr>
      </w:pP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0.0000</w:t>
      </w:r>
      <w:r>
        <w:br/>
      </w:r>
    </w:p>
    <w:p>
      <w:pPr>
        <w:pStyle w:val="Compact"/>
        <w:numPr>
          <w:ilvl w:val="1"/>
          <w:numId w:val="1010"/>
        </w:numPr>
      </w:pPr>
      <m:oMath>
        <m:sSub>
          <m:e>
            <m:r>
              <m:t>R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0.0950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MoE Gating (moe)</w:t>
      </w:r>
    </w:p>
    <w:p>
      <w:pPr>
        <w:pStyle w:val="Compact"/>
        <w:numPr>
          <w:ilvl w:val="1"/>
          <w:numId w:val="1011"/>
        </w:numPr>
      </w:pP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0.1919</w:t>
      </w:r>
      <w:r>
        <w:br/>
      </w:r>
    </w:p>
    <w:p>
      <w:pPr>
        <w:pStyle w:val="Compact"/>
        <w:numPr>
          <w:ilvl w:val="1"/>
          <w:numId w:val="1011"/>
        </w:numPr>
      </w:pP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0.1628</w:t>
      </w:r>
      <w:r>
        <w:br/>
      </w:r>
    </w:p>
    <w:p>
      <w:pPr>
        <w:pStyle w:val="Compact"/>
        <w:numPr>
          <w:ilvl w:val="1"/>
          <w:numId w:val="1011"/>
        </w:numPr>
      </w:pP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0.1379</w:t>
      </w:r>
      <w:r>
        <w:br/>
      </w:r>
    </w:p>
    <w:p>
      <w:pPr>
        <w:pStyle w:val="Compact"/>
        <w:numPr>
          <w:ilvl w:val="1"/>
          <w:numId w:val="1011"/>
        </w:numPr>
      </w:pP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0.1645</w:t>
      </w:r>
      <w:r>
        <w:br/>
      </w:r>
    </w:p>
    <w:p>
      <w:pPr>
        <w:pStyle w:val="Compact"/>
        <w:numPr>
          <w:ilvl w:val="1"/>
          <w:numId w:val="1011"/>
        </w:numPr>
      </w:pPr>
      <m:oMath>
        <m:sSub>
          <m:e>
            <m:r>
              <m:t>R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0.2001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RED (router)</w:t>
      </w:r>
    </w:p>
    <w:p>
      <w:pPr>
        <w:pStyle w:val="Compact"/>
        <w:numPr>
          <w:ilvl w:val="1"/>
          <w:numId w:val="1012"/>
        </w:numPr>
      </w:pP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0.1919</w:t>
      </w:r>
      <w:r>
        <w:br/>
      </w:r>
    </w:p>
    <w:p>
      <w:pPr>
        <w:pStyle w:val="Compact"/>
        <w:numPr>
          <w:ilvl w:val="1"/>
          <w:numId w:val="1012"/>
        </w:numPr>
      </w:pP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0.1984</w:t>
      </w:r>
      <w:r>
        <w:br/>
      </w:r>
    </w:p>
    <w:p>
      <w:pPr>
        <w:pStyle w:val="Compact"/>
        <w:numPr>
          <w:ilvl w:val="1"/>
          <w:numId w:val="1012"/>
        </w:numPr>
      </w:pP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0.1870</w:t>
      </w:r>
      <w:r>
        <w:br/>
      </w:r>
    </w:p>
    <w:p>
      <w:pPr>
        <w:pStyle w:val="Compact"/>
        <w:numPr>
          <w:ilvl w:val="1"/>
          <w:numId w:val="1012"/>
        </w:numPr>
      </w:pP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0.1926</w:t>
      </w:r>
      <w:r>
        <w:br/>
      </w:r>
    </w:p>
    <w:p>
      <w:pPr>
        <w:pStyle w:val="Compact"/>
        <w:numPr>
          <w:ilvl w:val="1"/>
          <w:numId w:val="1012"/>
        </w:numPr>
      </w:pPr>
      <m:oMath>
        <m:sSub>
          <m:e>
            <m:r>
              <m:t>R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0.2020</w:t>
      </w:r>
    </w:p>
    <w:bookmarkEnd w:id="13"/>
    <w:bookmarkStart w:id="14" w:name="macro-f1-level-thresholds"/>
    <w:p>
      <w:pPr>
        <w:pStyle w:val="Heading4"/>
      </w:pPr>
      <w:r>
        <w:t xml:space="preserve">Macro-F1 Level Thresholds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high:</w:t>
      </w:r>
      <w:r>
        <w:t xml:space="preserve"> </w:t>
      </w:r>
      <w:r>
        <w:t xml:space="preserve">≥ 0.16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moderate:</w:t>
      </w:r>
      <w:r>
        <w:t xml:space="preserve"> </w:t>
      </w:r>
      <w:r>
        <w:t xml:space="preserve">0.08–0.16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low:</w:t>
      </w:r>
      <w:r>
        <w:t xml:space="preserve"> </w:t>
      </w:r>
      <w:r>
        <w:t xml:space="preserve">&lt; 0.08</w:t>
      </w:r>
    </w:p>
    <w:bookmarkEnd w:id="14"/>
    <w:bookmarkStart w:id="15" w:name="final-macro-f1-level-table"/>
    <w:p>
      <w:pPr>
        <w:pStyle w:val="Heading4"/>
      </w:pPr>
      <w:r>
        <w:t xml:space="preserve">Final Macro-F1-Level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289"/>
        <w:gridCol w:w="1289"/>
        <w:gridCol w:w="1289"/>
        <w:gridCol w:w="1289"/>
        <w:gridCol w:w="12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5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Global Head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 Avg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MoE Gating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 (Ours)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router-reliability"/>
    <w:p>
      <w:pPr>
        <w:pStyle w:val="Heading3"/>
      </w:pPr>
      <w:r>
        <w:t xml:space="preserve">4.6.4 Router Reliability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Router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0.9714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0.9714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0.9725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Interpretation:</w:t>
      </w:r>
      <w:r>
        <w:br/>
      </w:r>
      <w:r>
        <w:t xml:space="preserve">The router accurately assigns numerical ranges for ≈97% of all samples.</w:t>
      </w:r>
      <w:r>
        <w:br/>
      </w:r>
      <w:r>
        <w:t xml:space="preserve">Because RED relies on residual cooperation instead of hard expert isolation,</w:t>
      </w:r>
      <w:r>
        <w:t xml:space="preserve"> </w:t>
      </w:r>
      <w:r>
        <w:t xml:space="preserve">occasional routing errors do not destabilize predictions.</w:t>
      </w:r>
    </w:p>
    <w:p>
      <w:r>
        <w:pict>
          <v:rect style="width:0;height:1.5pt" o:hralign="center" o:hrstd="t" o:hr="t"/>
        </w:pict>
      </w:r>
    </w:p>
    <w:bookmarkEnd w:id="17"/>
    <w:bookmarkStart w:id="18" w:name="behavior-near-range-boundaries"/>
    <w:p>
      <w:pPr>
        <w:pStyle w:val="Heading3"/>
      </w:pPr>
      <w:r>
        <w:t xml:space="preserve">4.6.5 Behavior Near Range Boundaries</w:t>
      </w:r>
    </w:p>
    <w:p>
      <w:pPr>
        <w:pStyle w:val="FirstParagraph"/>
      </w:pPr>
      <w:r>
        <w:t xml:space="preserve">Boundary values (e.g., 20/21, 40/41, 60/61, 80/81) are difficult for modular systems.</w:t>
      </w:r>
    </w:p>
    <w:p>
      <w:pPr>
        <w:pStyle w:val="BodyText"/>
      </w:pPr>
      <w:r>
        <w:t xml:space="preserve">Observed behaviors: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Global Head</w:t>
      </w:r>
      <w:r>
        <w:t xml:space="preserve">: biased toward high-frequency mid-range outputs.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Uniform Avg</w:t>
      </w:r>
      <w:r>
        <w:t xml:space="preserve">: averaging destroys structure, producing systematic drift.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MoE</w:t>
      </w:r>
      <w:r>
        <w:t xml:space="preserve">: output oscillates due to routing sensitivity.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RED</w:t>
      </w:r>
      <w:r>
        <w:t xml:space="preserve">: smooth transitions; residual structure allows neighboring experts to assist.</w:t>
      </w:r>
    </w:p>
    <w:p>
      <w:pPr>
        <w:pStyle w:val="FirstParagraph"/>
      </w:pPr>
      <w:r>
        <w:t xml:space="preserve">Boundary robustness is one of RED’s most distinctive advantages over classical MoE.</w:t>
      </w:r>
    </w:p>
    <w:p>
      <w:r>
        <w:pict>
          <v:rect style="width:0;height:1.5pt" o:hralign="center" o:hrstd="t" o:hr="t"/>
        </w:pict>
      </w:r>
    </w:p>
    <w:bookmarkEnd w:id="18"/>
    <w:bookmarkStart w:id="19" w:name="summary-of-task-1-findings"/>
    <w:p>
      <w:pPr>
        <w:pStyle w:val="Heading3"/>
      </w:pPr>
      <w:r>
        <w:t xml:space="preserve">4.6.6 Summary of Task 1 Findings</w:t>
      </w:r>
    </w:p>
    <w:p>
      <w:pPr>
        <w:pStyle w:val="FirstParagraph"/>
      </w:pPr>
      <w:r>
        <w:t xml:space="preserve">Task 1 shows that: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RED achieves state-of-the-art global accuracy</w:t>
      </w:r>
      <w:r>
        <w:t xml:space="preserve">, significantly outperforming MoE.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RED is the only method with uniformly high performance across all ranges</w:t>
      </w:r>
      <w:r>
        <w:br/>
      </w:r>
      <w:r>
        <w:t xml:space="preserve">(Accuracy + Macro-F1).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Router accuracy is consistently high</w:t>
      </w:r>
      <w:r>
        <w:t xml:space="preserve">, and RED remains stable even with routing errors.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Experts cooperate smoothly</w:t>
      </w:r>
      <w:r>
        <w:t xml:space="preserve">, avoiding the volatility observed in classical MoE.</w:t>
      </w:r>
    </w:p>
    <w:p>
      <w:pPr>
        <w:pStyle w:val="FirstParagraph"/>
      </w:pPr>
      <w:r>
        <w:t xml:space="preserve">Overall, Task 1 provides strong evidence that RED enables reliable modular reasoning</w:t>
      </w:r>
      <w:r>
        <w:t xml:space="preserve"> </w:t>
      </w:r>
      <w:r>
        <w:t xml:space="preserve">in a controlled arithmetic environment.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2025-12-04T05:48:34Z</dcterms:created>
  <dcterms:modified xsi:type="dcterms:W3CDTF">2025-12-04T05:48:34Z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